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96"/>
          <w:szCs w:val="96"/>
        </w:rPr>
      </w:pPr>
    </w:p>
    <w:p w14:paraId="00000002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96"/>
          <w:szCs w:val="96"/>
        </w:rPr>
      </w:pPr>
    </w:p>
    <w:p w14:paraId="00000003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72"/>
          <w:szCs w:val="72"/>
        </w:rPr>
      </w:pPr>
      <w:proofErr w:type="spellStart"/>
      <w:r w:rsidRPr="00C12FA9">
        <w:rPr>
          <w:b/>
          <w:color w:val="000000" w:themeColor="text1"/>
          <w:sz w:val="72"/>
          <w:szCs w:val="72"/>
        </w:rPr>
        <w:t>CultureCIVIC</w:t>
      </w:r>
      <w:proofErr w:type="spellEnd"/>
      <w:r w:rsidRPr="00C12FA9">
        <w:rPr>
          <w:b/>
          <w:color w:val="000000" w:themeColor="text1"/>
          <w:sz w:val="72"/>
          <w:szCs w:val="72"/>
        </w:rPr>
        <w:t xml:space="preserve"> </w:t>
      </w:r>
      <w:proofErr w:type="spellStart"/>
      <w:r w:rsidRPr="00C12FA9">
        <w:rPr>
          <w:b/>
          <w:color w:val="000000" w:themeColor="text1"/>
          <w:sz w:val="72"/>
          <w:szCs w:val="72"/>
        </w:rPr>
        <w:t>Kültür</w:t>
      </w:r>
      <w:proofErr w:type="spellEnd"/>
      <w:r w:rsidRPr="00C12FA9">
        <w:rPr>
          <w:b/>
          <w:color w:val="000000" w:themeColor="text1"/>
          <w:sz w:val="72"/>
          <w:szCs w:val="72"/>
        </w:rPr>
        <w:t xml:space="preserve"> Sanat </w:t>
      </w:r>
      <w:proofErr w:type="spellStart"/>
      <w:r w:rsidRPr="00C12FA9">
        <w:rPr>
          <w:b/>
          <w:color w:val="000000" w:themeColor="text1"/>
          <w:sz w:val="72"/>
          <w:szCs w:val="72"/>
        </w:rPr>
        <w:t>Destek</w:t>
      </w:r>
      <w:proofErr w:type="spellEnd"/>
      <w:r w:rsidRPr="00C12FA9">
        <w:rPr>
          <w:b/>
          <w:color w:val="000000" w:themeColor="text1"/>
          <w:sz w:val="72"/>
          <w:szCs w:val="72"/>
        </w:rPr>
        <w:t xml:space="preserve"> </w:t>
      </w:r>
      <w:proofErr w:type="spellStart"/>
      <w:r w:rsidRPr="00C12FA9">
        <w:rPr>
          <w:b/>
          <w:color w:val="000000" w:themeColor="text1"/>
          <w:sz w:val="72"/>
          <w:szCs w:val="72"/>
        </w:rPr>
        <w:t>Programı</w:t>
      </w:r>
      <w:proofErr w:type="spellEnd"/>
    </w:p>
    <w:p w14:paraId="00000004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72"/>
          <w:szCs w:val="72"/>
        </w:rPr>
      </w:pPr>
    </w:p>
    <w:p w14:paraId="00000005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72"/>
          <w:szCs w:val="72"/>
        </w:rPr>
      </w:pPr>
      <w:proofErr w:type="spellStart"/>
      <w:r w:rsidRPr="00C12FA9">
        <w:rPr>
          <w:b/>
          <w:color w:val="000000" w:themeColor="text1"/>
          <w:sz w:val="72"/>
          <w:szCs w:val="72"/>
        </w:rPr>
        <w:t>Bütçe</w:t>
      </w:r>
      <w:proofErr w:type="spellEnd"/>
      <w:r w:rsidRPr="00C12FA9">
        <w:rPr>
          <w:b/>
          <w:color w:val="000000" w:themeColor="text1"/>
          <w:sz w:val="72"/>
          <w:szCs w:val="72"/>
        </w:rPr>
        <w:t xml:space="preserve"> </w:t>
      </w:r>
      <w:proofErr w:type="spellStart"/>
      <w:r w:rsidRPr="00C12FA9">
        <w:rPr>
          <w:b/>
          <w:color w:val="000000" w:themeColor="text1"/>
          <w:sz w:val="72"/>
          <w:szCs w:val="72"/>
        </w:rPr>
        <w:t>ve</w:t>
      </w:r>
      <w:proofErr w:type="spellEnd"/>
      <w:r w:rsidRPr="00C12FA9">
        <w:rPr>
          <w:b/>
          <w:color w:val="000000" w:themeColor="text1"/>
          <w:sz w:val="72"/>
          <w:szCs w:val="72"/>
        </w:rPr>
        <w:t xml:space="preserve"> </w:t>
      </w:r>
      <w:proofErr w:type="spellStart"/>
      <w:r w:rsidRPr="00C12FA9">
        <w:rPr>
          <w:b/>
          <w:color w:val="000000" w:themeColor="text1"/>
          <w:sz w:val="72"/>
          <w:szCs w:val="72"/>
        </w:rPr>
        <w:t>Finansman</w:t>
      </w:r>
      <w:proofErr w:type="spellEnd"/>
      <w:r w:rsidRPr="00C12FA9">
        <w:rPr>
          <w:b/>
          <w:color w:val="000000" w:themeColor="text1"/>
          <w:sz w:val="72"/>
          <w:szCs w:val="72"/>
        </w:rPr>
        <w:t xml:space="preserve"> </w:t>
      </w:r>
      <w:proofErr w:type="spellStart"/>
      <w:r w:rsidRPr="00C12FA9">
        <w:rPr>
          <w:b/>
          <w:color w:val="000000" w:themeColor="text1"/>
          <w:sz w:val="72"/>
          <w:szCs w:val="72"/>
        </w:rPr>
        <w:t>Planı</w:t>
      </w:r>
      <w:proofErr w:type="spellEnd"/>
      <w:r w:rsidRPr="00C12FA9">
        <w:rPr>
          <w:b/>
          <w:color w:val="000000" w:themeColor="text1"/>
          <w:sz w:val="72"/>
          <w:szCs w:val="72"/>
        </w:rPr>
        <w:t xml:space="preserve"> </w:t>
      </w:r>
      <w:proofErr w:type="spellStart"/>
      <w:r w:rsidRPr="00C12FA9">
        <w:rPr>
          <w:b/>
          <w:color w:val="000000" w:themeColor="text1"/>
          <w:sz w:val="72"/>
          <w:szCs w:val="72"/>
        </w:rPr>
        <w:t>Rehberi</w:t>
      </w:r>
      <w:proofErr w:type="spellEnd"/>
    </w:p>
    <w:p w14:paraId="00000006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4"/>
          <w:szCs w:val="24"/>
        </w:rPr>
      </w:pPr>
    </w:p>
    <w:p w14:paraId="00000007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08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09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0A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0B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0C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0D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0E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0F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10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00000011" w14:textId="77777777" w:rsidR="007A7694" w:rsidRPr="00C12FA9" w:rsidRDefault="007A769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both"/>
        <w:rPr>
          <w:color w:val="000000" w:themeColor="text1"/>
          <w:sz w:val="24"/>
          <w:szCs w:val="24"/>
        </w:rPr>
      </w:pPr>
    </w:p>
    <w:p w14:paraId="00000012" w14:textId="77777777" w:rsidR="007A7694" w:rsidRPr="00C12FA9" w:rsidRDefault="00A3176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C12FA9">
        <w:rPr>
          <w:b/>
          <w:color w:val="000000" w:themeColor="text1"/>
          <w:sz w:val="24"/>
          <w:szCs w:val="24"/>
        </w:rPr>
        <w:t>İçindekiler</w:t>
      </w:r>
      <w:proofErr w:type="spellEnd"/>
    </w:p>
    <w:p w14:paraId="00000013" w14:textId="77777777" w:rsidR="007A7694" w:rsidRPr="00C12FA9" w:rsidRDefault="007A76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right" w:pos="8834"/>
        </w:tabs>
        <w:spacing w:after="0" w:line="360" w:lineRule="auto"/>
        <w:rPr>
          <w:color w:val="000000" w:themeColor="text1"/>
        </w:rPr>
      </w:pPr>
    </w:p>
    <w:p w14:paraId="00000014" w14:textId="77777777" w:rsidR="007A7694" w:rsidRPr="00C12FA9" w:rsidRDefault="007A76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right" w:pos="8834"/>
        </w:tabs>
        <w:spacing w:after="0" w:line="360" w:lineRule="auto"/>
        <w:rPr>
          <w:b/>
          <w:color w:val="000000" w:themeColor="text1"/>
          <w:sz w:val="24"/>
          <w:szCs w:val="24"/>
        </w:rPr>
      </w:pPr>
    </w:p>
    <w:p w14:paraId="00000015" w14:textId="77777777" w:rsidR="007A7694" w:rsidRPr="00C12F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hyperlink w:anchor="bookmark=id.tyjcwt">
        <w:r w:rsidR="00A31760" w:rsidRPr="00C12FA9">
          <w:rPr>
            <w:b/>
            <w:color w:val="000000" w:themeColor="text1"/>
            <w:sz w:val="24"/>
            <w:szCs w:val="24"/>
          </w:rPr>
          <w:t>GİRİŞ...............................................................................................................................</w:t>
        </w:r>
        <w:r w:rsidR="00A31760" w:rsidRPr="00C12FA9">
          <w:rPr>
            <w:b/>
            <w:color w:val="000000" w:themeColor="text1"/>
            <w:sz w:val="24"/>
            <w:szCs w:val="24"/>
          </w:rPr>
          <w:tab/>
          <w:t>3</w:t>
        </w:r>
      </w:hyperlink>
    </w:p>
    <w:p w14:paraId="00000016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1. </w:t>
      </w:r>
      <w:hyperlink w:anchor="bookmark=id.3dy6vkm">
        <w:r w:rsidRPr="00C12FA9">
          <w:rPr>
            <w:b/>
            <w:color w:val="000000" w:themeColor="text1"/>
            <w:sz w:val="24"/>
            <w:szCs w:val="24"/>
          </w:rPr>
          <w:t>BÜTÇE VE FİNANSMAN PLANI......................................................................................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  <w:t>4</w:t>
        </w:r>
      </w:hyperlink>
    </w:p>
    <w:p w14:paraId="00000017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1.1. </w:t>
      </w:r>
      <w:hyperlink w:anchor="bookmark=id.1t3h5sf">
        <w:proofErr w:type="spellStart"/>
        <w:r w:rsidRPr="00C12FA9">
          <w:rPr>
            <w:b/>
            <w:color w:val="000000" w:themeColor="text1"/>
            <w:sz w:val="24"/>
            <w:szCs w:val="24"/>
          </w:rPr>
          <w:t>Bütçe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ve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finansman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planına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genel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bakış....................................................................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  <w:t>4</w:t>
        </w:r>
      </w:hyperlink>
    </w:p>
    <w:p w14:paraId="00000018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1.2.  </w:t>
      </w:r>
      <w:hyperlink w:anchor="bookmark=id.4d34og8">
        <w:proofErr w:type="spellStart"/>
        <w:r w:rsidRPr="00C12FA9">
          <w:rPr>
            <w:b/>
            <w:color w:val="000000" w:themeColor="text1"/>
            <w:sz w:val="24"/>
            <w:szCs w:val="24"/>
          </w:rPr>
          <w:t>Bütçe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planı</w:t>
        </w:r>
      </w:hyperlink>
      <w:hyperlink w:anchor="bookmark=id.2s8eyo1">
        <w:r w:rsidRPr="00C12FA9">
          <w:rPr>
            <w:b/>
            <w:color w:val="000000" w:themeColor="text1"/>
            <w:sz w:val="24"/>
            <w:szCs w:val="24"/>
          </w:rPr>
          <w:t>na</w:t>
        </w:r>
        <w:proofErr w:type="spellEnd"/>
      </w:hyperlink>
      <w:hyperlink w:anchor="bookmark=id.17dp8vu"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genel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bakış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>..........................................................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  <w:t>4</w:t>
        </w:r>
      </w:hyperlink>
    </w:p>
    <w:p w14:paraId="00000019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1.3. </w:t>
      </w:r>
      <w:hyperlink w:anchor="bookmark=id.3rdcrjn">
        <w:proofErr w:type="spellStart"/>
        <w:r w:rsidRPr="00C12FA9">
          <w:rPr>
            <w:b/>
            <w:color w:val="000000" w:themeColor="text1"/>
            <w:sz w:val="24"/>
            <w:szCs w:val="24"/>
          </w:rPr>
          <w:t>Proje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bütçe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planının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gerekçelendirilmesi</w:t>
        </w:r>
      </w:hyperlink>
      <w:hyperlink w:anchor="bookmark=id.26in1rg">
        <w:r w:rsidRPr="00C12FA9">
          <w:rPr>
            <w:b/>
            <w:color w:val="000000" w:themeColor="text1"/>
            <w:sz w:val="24"/>
            <w:szCs w:val="24"/>
          </w:rPr>
          <w:t>ne</w:t>
        </w:r>
        <w:proofErr w:type="spellEnd"/>
      </w:hyperlink>
      <w:hyperlink w:anchor="bookmark=id.lnxbz9"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</w:hyperlink>
      <w:hyperlink w:anchor="bookmark=id.35nkun2"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genel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bakış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>..............</w:t>
        </w:r>
        <w:r w:rsidRPr="00C12FA9">
          <w:rPr>
            <w:b/>
            <w:color w:val="000000" w:themeColor="text1"/>
            <w:sz w:val="24"/>
            <w:szCs w:val="24"/>
          </w:rPr>
          <w:tab/>
          <w:t>5</w:t>
        </w:r>
      </w:hyperlink>
    </w:p>
    <w:p w14:paraId="0000001A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 </w:t>
      </w:r>
      <w:hyperlink w:anchor="bookmark=id.1ksv4uv">
        <w:r w:rsidRPr="00C12FA9">
          <w:rPr>
            <w:b/>
            <w:color w:val="000000" w:themeColor="text1"/>
            <w:sz w:val="24"/>
            <w:szCs w:val="24"/>
          </w:rPr>
          <w:t>UYGUN/UYGUN OLMAYAN MALİYETLERE İLİŞKİN AÇIKLAMALAR.................................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  <w:t>5</w:t>
        </w:r>
      </w:hyperlink>
    </w:p>
    <w:p w14:paraId="0000001B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2.1. </w:t>
      </w:r>
      <w:hyperlink w:anchor="bookmark=id.44sinio">
        <w:r w:rsidRPr="00C12FA9">
          <w:rPr>
            <w:b/>
            <w:color w:val="000000" w:themeColor="text1"/>
            <w:sz w:val="24"/>
            <w:szCs w:val="24"/>
          </w:rPr>
          <w:t xml:space="preserve">Uygun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maliyetler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için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kriterler...................................................................................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</w:r>
      </w:hyperlink>
      <w:r w:rsidRPr="00C12FA9">
        <w:rPr>
          <w:b/>
          <w:color w:val="000000" w:themeColor="text1"/>
          <w:sz w:val="24"/>
          <w:szCs w:val="24"/>
        </w:rPr>
        <w:t>5</w:t>
      </w:r>
    </w:p>
    <w:p w14:paraId="0000001C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2.2. </w:t>
      </w:r>
      <w:hyperlink w:anchor="bookmark=id.2jxsxqh">
        <w:proofErr w:type="spellStart"/>
        <w:r w:rsidRPr="00C12FA9">
          <w:rPr>
            <w:b/>
            <w:color w:val="000000" w:themeColor="text1"/>
            <w:sz w:val="24"/>
            <w:szCs w:val="24"/>
          </w:rPr>
          <w:t>Doğrudan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maliyetler.................................................................................................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</w:r>
      </w:hyperlink>
      <w:r w:rsidRPr="00C12FA9">
        <w:rPr>
          <w:b/>
          <w:color w:val="000000" w:themeColor="text1"/>
          <w:sz w:val="24"/>
          <w:szCs w:val="24"/>
        </w:rPr>
        <w:t>7</w:t>
      </w:r>
    </w:p>
    <w:p w14:paraId="0000001D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2.3. </w:t>
      </w:r>
      <w:hyperlink w:anchor="bookmark=id.z337ya">
        <w:proofErr w:type="spellStart"/>
        <w:r w:rsidRPr="00C12FA9">
          <w:rPr>
            <w:b/>
            <w:color w:val="000000" w:themeColor="text1"/>
            <w:sz w:val="24"/>
            <w:szCs w:val="24"/>
          </w:rPr>
          <w:t>Tanımlanmış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fayda fonu............................................................................................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</w:r>
      </w:hyperlink>
      <w:r w:rsidRPr="00C12FA9">
        <w:rPr>
          <w:b/>
          <w:color w:val="000000" w:themeColor="text1"/>
          <w:sz w:val="24"/>
          <w:szCs w:val="24"/>
        </w:rPr>
        <w:t>8</w:t>
      </w:r>
    </w:p>
    <w:p w14:paraId="0000001E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b/>
          <w:color w:val="000000" w:themeColor="text1"/>
          <w:sz w:val="24"/>
          <w:szCs w:val="24"/>
          <w:u w:val="single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2.4. </w:t>
      </w:r>
      <w:proofErr w:type="spellStart"/>
      <w:r w:rsidRPr="00C12FA9">
        <w:rPr>
          <w:b/>
          <w:color w:val="000000" w:themeColor="text1"/>
          <w:sz w:val="24"/>
          <w:szCs w:val="24"/>
        </w:rPr>
        <w:t>Hesaplama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yöntemi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olarak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basitleştirilmiş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maliyet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seçenekleri ................................9</w:t>
      </w:r>
    </w:p>
    <w:p w14:paraId="0000001F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2.5. </w:t>
      </w:r>
      <w:hyperlink w:anchor="bookmark=id.3j2qqm3">
        <w:proofErr w:type="spellStart"/>
        <w:r w:rsidRPr="00C12FA9">
          <w:rPr>
            <w:b/>
            <w:color w:val="000000" w:themeColor="text1"/>
            <w:sz w:val="24"/>
            <w:szCs w:val="24"/>
          </w:rPr>
          <w:t>Koşullu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</w:t>
        </w:r>
      </w:hyperlink>
      <w:hyperlink w:anchor="bookmark=id.1y810tw">
        <w:proofErr w:type="spellStart"/>
        <w:r w:rsidRPr="00C12FA9">
          <w:rPr>
            <w:b/>
            <w:color w:val="000000" w:themeColor="text1"/>
            <w:sz w:val="24"/>
            <w:szCs w:val="24"/>
          </w:rPr>
          <w:t>kaynak</w:t>
        </w:r>
        <w:proofErr w:type="spellEnd"/>
      </w:hyperlink>
      <w:hyperlink w:anchor="bookmark=id.4i7ojhp">
        <w:r w:rsidRPr="00C12FA9">
          <w:rPr>
            <w:b/>
            <w:color w:val="000000" w:themeColor="text1"/>
            <w:sz w:val="24"/>
            <w:szCs w:val="24"/>
          </w:rPr>
          <w:t xml:space="preserve"> düzenlemesi.........................................................................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</w:r>
      </w:hyperlink>
      <w:r w:rsidRPr="00C12FA9">
        <w:rPr>
          <w:b/>
          <w:color w:val="000000" w:themeColor="text1"/>
          <w:sz w:val="24"/>
          <w:szCs w:val="24"/>
        </w:rPr>
        <w:t>10</w:t>
      </w:r>
    </w:p>
    <w:p w14:paraId="00000020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2.6. </w:t>
      </w:r>
      <w:hyperlink w:anchor="bookmark=id.2xcytpi">
        <w:proofErr w:type="spellStart"/>
        <w:r w:rsidRPr="00C12FA9">
          <w:rPr>
            <w:b/>
            <w:color w:val="000000" w:themeColor="text1"/>
            <w:sz w:val="24"/>
            <w:szCs w:val="24"/>
          </w:rPr>
          <w:t>Dolaylı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maliyetler.................................................................................................. .10</w:t>
        </w:r>
        <w:r w:rsidRPr="00C12FA9">
          <w:rPr>
            <w:b/>
            <w:color w:val="000000" w:themeColor="text1"/>
            <w:sz w:val="24"/>
            <w:szCs w:val="24"/>
          </w:rPr>
          <w:tab/>
        </w:r>
      </w:hyperlink>
    </w:p>
    <w:p w14:paraId="00000021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2.7. </w:t>
      </w:r>
      <w:hyperlink w:anchor="bookmark=id.1ci93xb">
        <w:r w:rsidRPr="00C12FA9">
          <w:rPr>
            <w:b/>
            <w:color w:val="000000" w:themeColor="text1"/>
            <w:sz w:val="24"/>
            <w:szCs w:val="24"/>
          </w:rPr>
          <w:t>Ayni yardımlar........................................................................................................11</w:t>
        </w:r>
        <w:r w:rsidRPr="00C12FA9">
          <w:rPr>
            <w:b/>
            <w:color w:val="000000" w:themeColor="text1"/>
            <w:sz w:val="24"/>
            <w:szCs w:val="24"/>
          </w:rPr>
          <w:tab/>
        </w:r>
      </w:hyperlink>
    </w:p>
    <w:p w14:paraId="00000022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  <w:sz w:val="24"/>
          <w:szCs w:val="24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2.8. </w:t>
      </w:r>
      <w:hyperlink w:anchor="bookmark=id.3whwml4">
        <w:proofErr w:type="spellStart"/>
        <w:r w:rsidRPr="00C12FA9">
          <w:rPr>
            <w:b/>
            <w:color w:val="000000" w:themeColor="text1"/>
            <w:sz w:val="24"/>
            <w:szCs w:val="24"/>
          </w:rPr>
          <w:t>Gönüllü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çalışma......................................................................................................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</w:r>
      </w:hyperlink>
      <w:r w:rsidRPr="00C12FA9">
        <w:rPr>
          <w:b/>
          <w:color w:val="000000" w:themeColor="text1"/>
          <w:sz w:val="24"/>
          <w:szCs w:val="24"/>
        </w:rPr>
        <w:t>11</w:t>
      </w:r>
    </w:p>
    <w:p w14:paraId="00000023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right" w:pos="8834"/>
        </w:tabs>
        <w:spacing w:after="0" w:line="360" w:lineRule="auto"/>
        <w:rPr>
          <w:color w:val="000000" w:themeColor="text1"/>
        </w:rPr>
      </w:pPr>
      <w:r w:rsidRPr="00C12FA9">
        <w:rPr>
          <w:b/>
          <w:color w:val="000000" w:themeColor="text1"/>
          <w:sz w:val="24"/>
          <w:szCs w:val="24"/>
          <w:u w:val="single"/>
        </w:rPr>
        <w:t xml:space="preserve">2.9. </w:t>
      </w:r>
      <w:hyperlink w:anchor="bookmark=id.2bn6wsx">
        <w:r w:rsidRPr="00C12FA9">
          <w:rPr>
            <w:b/>
            <w:color w:val="000000" w:themeColor="text1"/>
            <w:sz w:val="24"/>
            <w:szCs w:val="24"/>
          </w:rPr>
          <w:t xml:space="preserve">Uygun </w:t>
        </w:r>
        <w:proofErr w:type="spellStart"/>
        <w:r w:rsidRPr="00C12FA9">
          <w:rPr>
            <w:b/>
            <w:color w:val="000000" w:themeColor="text1"/>
            <w:sz w:val="24"/>
            <w:szCs w:val="24"/>
          </w:rPr>
          <w:t>olmayan</w:t>
        </w:r>
        <w:proofErr w:type="spellEnd"/>
        <w:r w:rsidRPr="00C12FA9">
          <w:rPr>
            <w:b/>
            <w:color w:val="000000" w:themeColor="text1"/>
            <w:sz w:val="24"/>
            <w:szCs w:val="24"/>
          </w:rPr>
          <w:t xml:space="preserve"> maliyetler......................................................................................</w:t>
        </w:r>
        <w:r w:rsidRPr="00C12FA9">
          <w:rPr>
            <w:b/>
            <w:color w:val="000000" w:themeColor="text1"/>
            <w:sz w:val="24"/>
            <w:szCs w:val="24"/>
          </w:rPr>
          <w:tab/>
        </w:r>
      </w:hyperlink>
      <w:r w:rsidRPr="00C12FA9">
        <w:rPr>
          <w:b/>
          <w:color w:val="000000" w:themeColor="text1"/>
          <w:sz w:val="24"/>
          <w:szCs w:val="24"/>
        </w:rPr>
        <w:t>11</w:t>
      </w:r>
    </w:p>
    <w:p w14:paraId="00000024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 w:themeColor="text1"/>
          <w:sz w:val="24"/>
          <w:szCs w:val="24"/>
        </w:rPr>
      </w:pPr>
    </w:p>
    <w:p w14:paraId="00000025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 w:themeColor="text1"/>
          <w:sz w:val="24"/>
          <w:szCs w:val="24"/>
        </w:rPr>
      </w:pPr>
    </w:p>
    <w:p w14:paraId="00000026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00000027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00000028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4"/>
          <w:szCs w:val="24"/>
        </w:rPr>
      </w:pPr>
    </w:p>
    <w:p w14:paraId="00000029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14:paraId="0000002A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14:paraId="0000002B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14:paraId="0000002C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14:paraId="0000002D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14:paraId="0000002E" w14:textId="77777777" w:rsidR="007A7694" w:rsidRPr="00C12FA9" w:rsidRDefault="007A7694">
      <w:pPr>
        <w:pStyle w:val="Heading1"/>
        <w:spacing w:line="360" w:lineRule="auto"/>
        <w:rPr>
          <w:smallCaps/>
          <w:color w:val="000000" w:themeColor="text1"/>
          <w:sz w:val="24"/>
          <w:szCs w:val="24"/>
        </w:rPr>
      </w:pPr>
      <w:bookmarkStart w:id="0" w:name="_heading=h.gjdgxs" w:colFirst="0" w:colLast="0"/>
      <w:bookmarkEnd w:id="0"/>
    </w:p>
    <w:p w14:paraId="0000002F" w14:textId="77777777" w:rsidR="007A7694" w:rsidRPr="00C12FA9" w:rsidRDefault="00A31760">
      <w:pPr>
        <w:pStyle w:val="Heading1"/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C12FA9">
        <w:rPr>
          <w:b/>
          <w:color w:val="000000" w:themeColor="text1"/>
          <w:sz w:val="26"/>
          <w:szCs w:val="26"/>
        </w:rPr>
        <w:t xml:space="preserve">GİRİŞ </w:t>
      </w:r>
    </w:p>
    <w:p w14:paraId="00000030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0000031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spacing w:after="75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>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Istanbul, AB </w:t>
      </w:r>
      <w:proofErr w:type="spellStart"/>
      <w:r w:rsidRPr="00C12FA9">
        <w:rPr>
          <w:color w:val="000000" w:themeColor="text1"/>
          <w:sz w:val="24"/>
          <w:szCs w:val="24"/>
        </w:rPr>
        <w:t>Komisyonu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aracılığıyla</w:t>
      </w:r>
      <w:proofErr w:type="spellEnd"/>
      <w:r w:rsidRPr="00C12FA9">
        <w:rPr>
          <w:color w:val="000000" w:themeColor="text1"/>
          <w:sz w:val="24"/>
          <w:szCs w:val="24"/>
        </w:rPr>
        <w:t xml:space="preserve"> Mali </w:t>
      </w:r>
      <w:proofErr w:type="spellStart"/>
      <w:r w:rsidRPr="00C12FA9">
        <w:rPr>
          <w:color w:val="000000" w:themeColor="text1"/>
          <w:sz w:val="24"/>
          <w:szCs w:val="24"/>
        </w:rPr>
        <w:t>Tüzüğün</w:t>
      </w:r>
      <w:proofErr w:type="spellEnd"/>
      <w:r w:rsidRPr="00C12FA9">
        <w:rPr>
          <w:color w:val="000000" w:themeColor="text1"/>
          <w:sz w:val="24"/>
          <w:szCs w:val="24"/>
        </w:rPr>
        <w:t xml:space="preserve"> 154. </w:t>
      </w:r>
      <w:proofErr w:type="spellStart"/>
      <w:r w:rsidRPr="00C12FA9">
        <w:rPr>
          <w:color w:val="000000" w:themeColor="text1"/>
          <w:sz w:val="24"/>
          <w:szCs w:val="24"/>
        </w:rPr>
        <w:t>Maddesi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bağlantılı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Madde 62 </w:t>
      </w:r>
      <w:proofErr w:type="spellStart"/>
      <w:r w:rsidRPr="00C12FA9">
        <w:rPr>
          <w:color w:val="000000" w:themeColor="text1"/>
          <w:sz w:val="24"/>
          <w:szCs w:val="24"/>
        </w:rPr>
        <w:t>uyarınca</w:t>
      </w:r>
      <w:proofErr w:type="spellEnd"/>
      <w:r w:rsidRPr="00C12FA9">
        <w:rPr>
          <w:color w:val="000000" w:themeColor="text1"/>
          <w:sz w:val="24"/>
          <w:szCs w:val="24"/>
        </w:rPr>
        <w:t xml:space="preserve"> AB </w:t>
      </w:r>
      <w:proofErr w:type="spellStart"/>
      <w:r w:rsidRPr="00C12FA9">
        <w:rPr>
          <w:color w:val="000000" w:themeColor="text1"/>
          <w:sz w:val="24"/>
          <w:szCs w:val="24"/>
        </w:rPr>
        <w:t>fonlarının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dolaylı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fon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yönetiminden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sorumludur</w:t>
      </w:r>
      <w:proofErr w:type="spellEnd"/>
      <w:r w:rsidRPr="00C12FA9">
        <w:rPr>
          <w:color w:val="000000" w:themeColor="text1"/>
          <w:sz w:val="24"/>
          <w:szCs w:val="24"/>
          <w:vertAlign w:val="superscript"/>
        </w:rPr>
        <w:footnoteReference w:id="1"/>
      </w:r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nedenle</w:t>
      </w:r>
      <w:proofErr w:type="spellEnd"/>
      <w:r w:rsidRPr="00C12FA9">
        <w:rPr>
          <w:color w:val="000000" w:themeColor="text1"/>
          <w:sz w:val="24"/>
          <w:szCs w:val="24"/>
        </w:rPr>
        <w:t xml:space="preserve">, AB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hukukuna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uyum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sağlamak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AB </w:t>
      </w:r>
      <w:proofErr w:type="spellStart"/>
      <w:r w:rsidRPr="00C12FA9">
        <w:rPr>
          <w:color w:val="000000" w:themeColor="text1"/>
          <w:sz w:val="24"/>
          <w:szCs w:val="24"/>
        </w:rPr>
        <w:t>fonları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verilirken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şartlar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süreçler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uygulanır</w:t>
      </w:r>
      <w:proofErr w:type="spellEnd"/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bağlamda</w:t>
      </w:r>
      <w:proofErr w:type="spellEnd"/>
      <w:r w:rsidRPr="00C12FA9">
        <w:rPr>
          <w:color w:val="000000" w:themeColor="text1"/>
          <w:sz w:val="24"/>
          <w:szCs w:val="24"/>
        </w:rPr>
        <w:t xml:space="preserve"> 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Istanbul, </w:t>
      </w:r>
      <w:proofErr w:type="spellStart"/>
      <w:r w:rsidRPr="00C12FA9">
        <w:rPr>
          <w:color w:val="000000" w:themeColor="text1"/>
          <w:sz w:val="24"/>
          <w:szCs w:val="24"/>
        </w:rPr>
        <w:t>hibelerin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tabi </w:t>
      </w:r>
      <w:proofErr w:type="spellStart"/>
      <w:r w:rsidRPr="00C12FA9">
        <w:rPr>
          <w:color w:val="000000" w:themeColor="text1"/>
          <w:sz w:val="24"/>
          <w:szCs w:val="24"/>
        </w:rPr>
        <w:t>olduğu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ilkeleri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gözetir</w:t>
      </w:r>
      <w:proofErr w:type="spellEnd"/>
      <w:r w:rsidRPr="00C12FA9">
        <w:rPr>
          <w:color w:val="000000" w:themeColor="text1"/>
          <w:sz w:val="24"/>
          <w:szCs w:val="24"/>
        </w:rPr>
        <w:t xml:space="preserve">. Mali </w:t>
      </w:r>
      <w:proofErr w:type="spellStart"/>
      <w:r w:rsidRPr="00C12FA9">
        <w:rPr>
          <w:color w:val="000000" w:themeColor="text1"/>
          <w:sz w:val="24"/>
          <w:szCs w:val="24"/>
        </w:rPr>
        <w:t>Tüzüğün</w:t>
      </w:r>
      <w:proofErr w:type="spellEnd"/>
      <w:r w:rsidRPr="00C12FA9">
        <w:rPr>
          <w:color w:val="000000" w:themeColor="text1"/>
          <w:sz w:val="24"/>
          <w:szCs w:val="24"/>
        </w:rPr>
        <w:t xml:space="preserve"> 188. </w:t>
      </w:r>
      <w:proofErr w:type="spellStart"/>
      <w:r w:rsidRPr="00C12FA9">
        <w:rPr>
          <w:color w:val="000000" w:themeColor="text1"/>
          <w:sz w:val="24"/>
          <w:szCs w:val="24"/>
        </w:rPr>
        <w:t>maddesine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ilkeler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aşağıdaki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gibidir</w:t>
      </w:r>
      <w:proofErr w:type="spellEnd"/>
      <w:r w:rsidRPr="00C12FA9">
        <w:rPr>
          <w:color w:val="000000" w:themeColor="text1"/>
          <w:sz w:val="24"/>
          <w:szCs w:val="24"/>
        </w:rPr>
        <w:t>:</w:t>
      </w:r>
    </w:p>
    <w:p w14:paraId="00000032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 w:rsidRPr="00C12FA9">
        <w:rPr>
          <w:color w:val="000000" w:themeColor="text1"/>
          <w:sz w:val="24"/>
          <w:szCs w:val="24"/>
        </w:rPr>
        <w:t xml:space="preserve">a) </w:t>
      </w:r>
      <w:proofErr w:type="spellStart"/>
      <w:r w:rsidRPr="00C12FA9">
        <w:rPr>
          <w:color w:val="000000" w:themeColor="text1"/>
          <w:sz w:val="24"/>
          <w:szCs w:val="24"/>
        </w:rPr>
        <w:t>eşitlik</w:t>
      </w:r>
      <w:proofErr w:type="spellEnd"/>
      <w:r w:rsidRPr="00C12FA9">
        <w:rPr>
          <w:color w:val="000000" w:themeColor="text1"/>
          <w:sz w:val="24"/>
          <w:szCs w:val="24"/>
        </w:rPr>
        <w:t>;</w:t>
      </w:r>
    </w:p>
    <w:p w14:paraId="00000033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b) </w:t>
      </w:r>
      <w:proofErr w:type="spellStart"/>
      <w:r w:rsidRPr="00C12FA9">
        <w:rPr>
          <w:color w:val="000000" w:themeColor="text1"/>
          <w:sz w:val="24"/>
          <w:szCs w:val="24"/>
        </w:rPr>
        <w:t>şeffaflık</w:t>
      </w:r>
      <w:proofErr w:type="spellEnd"/>
      <w:r w:rsidRPr="00C12FA9">
        <w:rPr>
          <w:color w:val="000000" w:themeColor="text1"/>
          <w:sz w:val="24"/>
          <w:szCs w:val="24"/>
        </w:rPr>
        <w:t>;</w:t>
      </w:r>
    </w:p>
    <w:p w14:paraId="00000034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c) </w:t>
      </w:r>
      <w:proofErr w:type="spellStart"/>
      <w:r w:rsidRPr="00C12FA9">
        <w:rPr>
          <w:color w:val="000000" w:themeColor="text1"/>
          <w:sz w:val="24"/>
          <w:szCs w:val="24"/>
        </w:rPr>
        <w:t>eş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>;</w:t>
      </w:r>
    </w:p>
    <w:p w14:paraId="00000035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d) </w:t>
      </w:r>
      <w:proofErr w:type="spellStart"/>
      <w:r w:rsidRPr="00C12FA9">
        <w:rPr>
          <w:color w:val="000000" w:themeColor="text1"/>
          <w:sz w:val="24"/>
          <w:szCs w:val="24"/>
        </w:rPr>
        <w:t>kümülatif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olmayan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ödül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çifte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olmaması</w:t>
      </w:r>
      <w:proofErr w:type="spellEnd"/>
      <w:r w:rsidRPr="00C12FA9">
        <w:rPr>
          <w:color w:val="000000" w:themeColor="text1"/>
          <w:sz w:val="24"/>
          <w:szCs w:val="24"/>
        </w:rPr>
        <w:t>;</w:t>
      </w:r>
    </w:p>
    <w:p w14:paraId="00000036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e) </w:t>
      </w:r>
      <w:proofErr w:type="spellStart"/>
      <w:r w:rsidRPr="00C12FA9">
        <w:rPr>
          <w:color w:val="000000" w:themeColor="text1"/>
          <w:sz w:val="24"/>
          <w:szCs w:val="24"/>
        </w:rPr>
        <w:t>geriye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dönük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olmama</w:t>
      </w:r>
      <w:proofErr w:type="spellEnd"/>
      <w:r w:rsidRPr="00C12FA9">
        <w:rPr>
          <w:color w:val="000000" w:themeColor="text1"/>
          <w:sz w:val="24"/>
          <w:szCs w:val="24"/>
        </w:rPr>
        <w:t>;</w:t>
      </w:r>
    </w:p>
    <w:p w14:paraId="00000037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f) </w:t>
      </w:r>
      <w:proofErr w:type="spellStart"/>
      <w:r w:rsidRPr="00C12FA9">
        <w:rPr>
          <w:color w:val="000000" w:themeColor="text1"/>
          <w:sz w:val="24"/>
          <w:szCs w:val="24"/>
        </w:rPr>
        <w:t>kâr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amacı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gütmeyen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38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0000039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sahipleri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12FA9">
        <w:rPr>
          <w:color w:val="000000" w:themeColor="text1"/>
          <w:sz w:val="24"/>
          <w:szCs w:val="24"/>
        </w:rPr>
        <w:t>sürecinde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proofErr w:type="gram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belgeleri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sunmalıdır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3A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Bu </w:t>
      </w:r>
      <w:proofErr w:type="spellStart"/>
      <w:r w:rsidRPr="00C12FA9">
        <w:rPr>
          <w:color w:val="000000" w:themeColor="text1"/>
          <w:sz w:val="24"/>
          <w:szCs w:val="24"/>
        </w:rPr>
        <w:t>planda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sahipleri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ilk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12FA9">
        <w:rPr>
          <w:color w:val="000000" w:themeColor="text1"/>
          <w:sz w:val="24"/>
          <w:szCs w:val="24"/>
        </w:rPr>
        <w:t>tahmini</w:t>
      </w:r>
      <w:proofErr w:type="spellEnd"/>
      <w:r w:rsidRPr="00C12FA9">
        <w:rPr>
          <w:color w:val="000000" w:themeColor="text1"/>
          <w:sz w:val="24"/>
          <w:szCs w:val="24"/>
        </w:rPr>
        <w:t xml:space="preserve">  </w:t>
      </w:r>
      <w:proofErr w:type="spellStart"/>
      <w:r w:rsidRPr="00C12FA9">
        <w:rPr>
          <w:color w:val="000000" w:themeColor="text1"/>
          <w:sz w:val="24"/>
          <w:szCs w:val="24"/>
        </w:rPr>
        <w:t>toplam</w:t>
      </w:r>
      <w:proofErr w:type="spellEnd"/>
      <w:proofErr w:type="gram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kalemlerine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listeleyecek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ikinci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beklenen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kaynaklarını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belirteceklerdir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3B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Bu </w:t>
      </w:r>
      <w:proofErr w:type="spellStart"/>
      <w:r w:rsidRPr="00C12FA9">
        <w:rPr>
          <w:color w:val="000000" w:themeColor="text1"/>
          <w:sz w:val="24"/>
          <w:szCs w:val="24"/>
        </w:rPr>
        <w:t>rehber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olmayan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kalemlerine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genel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bakış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oluşturmayı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amaçlamaktadır</w:t>
      </w:r>
      <w:proofErr w:type="spellEnd"/>
      <w:r w:rsidRPr="00C12FA9">
        <w:rPr>
          <w:color w:val="000000" w:themeColor="text1"/>
          <w:sz w:val="24"/>
          <w:szCs w:val="24"/>
        </w:rPr>
        <w:t xml:space="preserve">; </w:t>
      </w:r>
      <w:proofErr w:type="spellStart"/>
      <w:r w:rsidRPr="00C12FA9">
        <w:rPr>
          <w:color w:val="000000" w:themeColor="text1"/>
          <w:sz w:val="24"/>
          <w:szCs w:val="24"/>
        </w:rPr>
        <w:t>ayrıca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kapsamında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detaylandırılan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standart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şekilde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değerlendirilmesini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sağlamak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Istanbul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denetçilerin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yararına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nasıl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hesaplandığını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3C" w14:textId="77777777" w:rsidR="007A7694" w:rsidRPr="00C12FA9" w:rsidRDefault="007A76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</w:p>
    <w:p w14:paraId="0000003D" w14:textId="77777777" w:rsidR="007A7694" w:rsidRPr="00C12FA9" w:rsidRDefault="00A317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 w:themeColor="text1"/>
          <w:sz w:val="26"/>
          <w:szCs w:val="26"/>
        </w:rPr>
      </w:pPr>
      <w:r w:rsidRPr="00C12FA9">
        <w:rPr>
          <w:b/>
          <w:color w:val="000000" w:themeColor="text1"/>
          <w:sz w:val="26"/>
          <w:szCs w:val="26"/>
        </w:rPr>
        <w:t>BÜTÇE VE FİNANSMAN PLANI</w:t>
      </w:r>
    </w:p>
    <w:p w14:paraId="0000003E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ind w:left="720"/>
        <w:jc w:val="both"/>
        <w:rPr>
          <w:b/>
          <w:color w:val="000000" w:themeColor="text1"/>
          <w:sz w:val="24"/>
          <w:szCs w:val="24"/>
        </w:rPr>
      </w:pPr>
    </w:p>
    <w:p w14:paraId="0000003F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oluşan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bütçesi</w:t>
      </w:r>
      <w:proofErr w:type="spellEnd"/>
      <w:r w:rsidRPr="00C12FA9">
        <w:rPr>
          <w:color w:val="000000" w:themeColor="text1"/>
          <w:sz w:val="24"/>
          <w:szCs w:val="24"/>
        </w:rPr>
        <w:t xml:space="preserve">, ilk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tüm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tahmini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ikinci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Istanbul </w:t>
      </w:r>
      <w:proofErr w:type="spellStart"/>
      <w:r w:rsidRPr="00C12FA9">
        <w:rPr>
          <w:color w:val="000000" w:themeColor="text1"/>
          <w:sz w:val="24"/>
          <w:szCs w:val="24"/>
        </w:rPr>
        <w:t>tarafından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onaylanana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kadar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üst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toplam</w:t>
      </w:r>
      <w:proofErr w:type="spellEnd"/>
      <w:r w:rsidRPr="00C12FA9">
        <w:rPr>
          <w:color w:val="000000" w:themeColor="text1"/>
          <w:sz w:val="24"/>
          <w:szCs w:val="24"/>
        </w:rPr>
        <w:t xml:space="preserve"> limit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hizmet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eder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40" w14:textId="7B19DBD4" w:rsidR="007A7694" w:rsidRPr="00C12FA9" w:rsidRDefault="00A31760" w:rsidP="00E1240C">
      <w:pPr>
        <w:pStyle w:val="Heading2"/>
        <w:keepLines w:val="0"/>
        <w:widowControl w:val="0"/>
        <w:numPr>
          <w:ilvl w:val="1"/>
          <w:numId w:val="25"/>
        </w:numPr>
        <w:spacing w:before="360" w:after="180" w:line="360" w:lineRule="auto"/>
        <w:jc w:val="both"/>
        <w:rPr>
          <w:color w:val="000000" w:themeColor="text1"/>
        </w:rPr>
      </w:pPr>
      <w:proofErr w:type="spellStart"/>
      <w:r w:rsidRPr="00C12FA9">
        <w:rPr>
          <w:b/>
          <w:color w:val="000000" w:themeColor="text1"/>
        </w:rPr>
        <w:t>Bütçe</w:t>
      </w:r>
      <w:proofErr w:type="spellEnd"/>
      <w:r w:rsidRPr="00C12FA9">
        <w:rPr>
          <w:b/>
          <w:color w:val="000000" w:themeColor="text1"/>
        </w:rPr>
        <w:t xml:space="preserve"> </w:t>
      </w:r>
      <w:proofErr w:type="spellStart"/>
      <w:r w:rsidRPr="00C12FA9">
        <w:rPr>
          <w:b/>
          <w:color w:val="000000" w:themeColor="text1"/>
        </w:rPr>
        <w:t>ve</w:t>
      </w:r>
      <w:proofErr w:type="spellEnd"/>
      <w:r w:rsidRPr="00C12FA9">
        <w:rPr>
          <w:b/>
          <w:color w:val="000000" w:themeColor="text1"/>
        </w:rPr>
        <w:t xml:space="preserve"> </w:t>
      </w:r>
      <w:proofErr w:type="spellStart"/>
      <w:r w:rsidRPr="00C12FA9">
        <w:rPr>
          <w:b/>
          <w:color w:val="000000" w:themeColor="text1"/>
        </w:rPr>
        <w:t>finansman</w:t>
      </w:r>
      <w:proofErr w:type="spellEnd"/>
      <w:r w:rsidRPr="00C12FA9">
        <w:rPr>
          <w:b/>
          <w:color w:val="000000" w:themeColor="text1"/>
        </w:rPr>
        <w:t xml:space="preserve"> </w:t>
      </w:r>
      <w:proofErr w:type="spellStart"/>
      <w:r w:rsidRPr="00C12FA9">
        <w:rPr>
          <w:b/>
          <w:color w:val="000000" w:themeColor="text1"/>
        </w:rPr>
        <w:t>planına</w:t>
      </w:r>
      <w:proofErr w:type="spellEnd"/>
      <w:r w:rsidRPr="00C12FA9">
        <w:rPr>
          <w:b/>
          <w:color w:val="000000" w:themeColor="text1"/>
        </w:rPr>
        <w:t xml:space="preserve"> </w:t>
      </w:r>
      <w:proofErr w:type="spellStart"/>
      <w:r w:rsidRPr="00C12FA9">
        <w:rPr>
          <w:b/>
          <w:color w:val="000000" w:themeColor="text1"/>
        </w:rPr>
        <w:t>genel</w:t>
      </w:r>
      <w:proofErr w:type="spellEnd"/>
      <w:r w:rsidRPr="00C12FA9">
        <w:rPr>
          <w:b/>
          <w:color w:val="000000" w:themeColor="text1"/>
        </w:rPr>
        <w:t xml:space="preserve"> </w:t>
      </w:r>
      <w:proofErr w:type="spellStart"/>
      <w:r w:rsidRPr="00C12FA9">
        <w:rPr>
          <w:b/>
          <w:color w:val="000000" w:themeColor="text1"/>
        </w:rPr>
        <w:t>bakış</w:t>
      </w:r>
      <w:proofErr w:type="spellEnd"/>
    </w:p>
    <w:p w14:paraId="00000041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üç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çalışma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sayfasından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oluşur</w:t>
      </w:r>
      <w:proofErr w:type="spellEnd"/>
      <w:r w:rsidRPr="00C12FA9">
        <w:rPr>
          <w:color w:val="000000" w:themeColor="text1"/>
          <w:sz w:val="24"/>
          <w:szCs w:val="24"/>
        </w:rPr>
        <w:t>:</w:t>
      </w:r>
    </w:p>
    <w:p w14:paraId="00000042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0000043" w14:textId="77777777" w:rsidR="007A7694" w:rsidRPr="00C12FA9" w:rsidRDefault="00A317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b/>
          <w:color w:val="000000" w:themeColor="text1"/>
          <w:sz w:val="24"/>
          <w:szCs w:val="24"/>
        </w:rPr>
        <w:t>Bütçe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Planlaması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: </w:t>
      </w: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sahibi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boyunca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belirtir</w:t>
      </w:r>
      <w:proofErr w:type="spellEnd"/>
      <w:r w:rsidRPr="00C12FA9">
        <w:rPr>
          <w:color w:val="000000" w:themeColor="text1"/>
        </w:rPr>
        <w:t>.</w:t>
      </w:r>
    </w:p>
    <w:p w14:paraId="00000044" w14:textId="77777777" w:rsidR="007A7694" w:rsidRPr="00C12FA9" w:rsidRDefault="00A317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b/>
          <w:color w:val="000000" w:themeColor="text1"/>
          <w:sz w:val="24"/>
          <w:szCs w:val="24"/>
        </w:rPr>
        <w:t>Proje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bütçe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planının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gerekçelendirilmesi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sahibi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durumlarını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açıklar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her durum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tahmini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hesaplanmasını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gerekçelendirir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45" w14:textId="77777777" w:rsidR="007A7694" w:rsidRPr="00C12FA9" w:rsidRDefault="00A317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b/>
          <w:color w:val="000000" w:themeColor="text1"/>
          <w:sz w:val="24"/>
          <w:szCs w:val="24"/>
        </w:rPr>
        <w:t>Finansman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planı</w:t>
      </w:r>
      <w:proofErr w:type="spellEnd"/>
      <w:r w:rsidRPr="00C12FA9">
        <w:rPr>
          <w:b/>
          <w:color w:val="000000" w:themeColor="text1"/>
          <w:sz w:val="24"/>
          <w:szCs w:val="24"/>
        </w:rPr>
        <w:t>/</w:t>
      </w:r>
      <w:proofErr w:type="spellStart"/>
      <w:r w:rsidRPr="00C12FA9">
        <w:rPr>
          <w:b/>
          <w:color w:val="000000" w:themeColor="text1"/>
          <w:sz w:val="24"/>
          <w:szCs w:val="24"/>
        </w:rPr>
        <w:t>Finansman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kaynakları</w:t>
      </w:r>
      <w:proofErr w:type="spellEnd"/>
      <w:r w:rsidRPr="00C12FA9">
        <w:rPr>
          <w:b/>
          <w:color w:val="000000" w:themeColor="text1"/>
          <w:sz w:val="24"/>
          <w:szCs w:val="24"/>
        </w:rPr>
        <w:t>:</w:t>
      </w:r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sahibi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beklenen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fon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kaynaklarını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Ayrıca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beklenen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fon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kaynaklarından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gelirin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maddeler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halinde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hesaplanmış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karşıladığını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göstermelidir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46" w14:textId="2DE86140" w:rsidR="007A7694" w:rsidRPr="00C12FA9" w:rsidRDefault="00A31760" w:rsidP="00E1240C">
      <w:pPr>
        <w:pStyle w:val="Heading2"/>
        <w:keepLines w:val="0"/>
        <w:widowControl w:val="0"/>
        <w:numPr>
          <w:ilvl w:val="1"/>
          <w:numId w:val="25"/>
        </w:numPr>
        <w:spacing w:before="360" w:after="180" w:line="360" w:lineRule="auto"/>
        <w:jc w:val="both"/>
        <w:rPr>
          <w:color w:val="000000" w:themeColor="text1"/>
        </w:rPr>
      </w:pPr>
      <w:bookmarkStart w:id="2" w:name="_heading=h.1fob9te" w:colFirst="0" w:colLast="0"/>
      <w:bookmarkEnd w:id="2"/>
      <w:proofErr w:type="spellStart"/>
      <w:r w:rsidRPr="00C12FA9">
        <w:rPr>
          <w:b/>
          <w:color w:val="000000" w:themeColor="text1"/>
        </w:rPr>
        <w:t>Bütçe</w:t>
      </w:r>
      <w:proofErr w:type="spellEnd"/>
      <w:r w:rsidRPr="00C12FA9">
        <w:rPr>
          <w:b/>
          <w:color w:val="000000" w:themeColor="text1"/>
        </w:rPr>
        <w:t xml:space="preserve"> </w:t>
      </w:r>
      <w:proofErr w:type="spellStart"/>
      <w:r w:rsidRPr="00C12FA9">
        <w:rPr>
          <w:b/>
          <w:color w:val="000000" w:themeColor="text1"/>
        </w:rPr>
        <w:t>planı</w:t>
      </w:r>
      <w:proofErr w:type="spellEnd"/>
    </w:p>
    <w:p w14:paraId="00000047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sahipleri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tüm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dönemi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ayrıca</w:t>
      </w:r>
      <w:proofErr w:type="spellEnd"/>
      <w:r w:rsidRPr="00C12FA9">
        <w:rPr>
          <w:color w:val="000000" w:themeColor="text1"/>
          <w:sz w:val="24"/>
          <w:szCs w:val="24"/>
        </w:rPr>
        <w:t xml:space="preserve"> ilk </w:t>
      </w:r>
      <w:proofErr w:type="spellStart"/>
      <w:r w:rsidRPr="00C12FA9">
        <w:rPr>
          <w:color w:val="000000" w:themeColor="text1"/>
          <w:sz w:val="24"/>
          <w:szCs w:val="24"/>
        </w:rPr>
        <w:t>raporlama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dönemi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kalemlerini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farklı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raporlama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dönemlerine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bölünmüştür</w:t>
      </w:r>
      <w:proofErr w:type="spellEnd"/>
      <w:r w:rsidRPr="00C12FA9">
        <w:rPr>
          <w:color w:val="000000" w:themeColor="text1"/>
          <w:sz w:val="24"/>
          <w:szCs w:val="24"/>
        </w:rPr>
        <w:t xml:space="preserve">.  </w:t>
      </w:r>
    </w:p>
    <w:p w14:paraId="00000048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ayrı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kalemlerine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ayrıştırılır</w:t>
      </w:r>
      <w:proofErr w:type="spellEnd"/>
      <w:r w:rsidRPr="00C12FA9">
        <w:rPr>
          <w:color w:val="000000" w:themeColor="text1"/>
          <w:sz w:val="24"/>
          <w:szCs w:val="24"/>
        </w:rPr>
        <w:t xml:space="preserve">. Plan </w:t>
      </w:r>
      <w:proofErr w:type="spellStart"/>
      <w:r w:rsidRPr="00C12FA9">
        <w:rPr>
          <w:color w:val="000000" w:themeColor="text1"/>
          <w:sz w:val="24"/>
          <w:szCs w:val="24"/>
        </w:rPr>
        <w:t>tahmini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aşağıdaki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içermelidir</w:t>
      </w:r>
      <w:proofErr w:type="spellEnd"/>
      <w:r w:rsidRPr="00C12FA9">
        <w:rPr>
          <w:color w:val="000000" w:themeColor="text1"/>
          <w:sz w:val="24"/>
          <w:szCs w:val="24"/>
        </w:rPr>
        <w:t>:</w:t>
      </w:r>
    </w:p>
    <w:p w14:paraId="00000049" w14:textId="77777777" w:rsidR="007A7694" w:rsidRPr="00C12FA9" w:rsidRDefault="00A317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Personel</w:t>
      </w:r>
      <w:proofErr w:type="spellEnd"/>
    </w:p>
    <w:p w14:paraId="0000004A" w14:textId="77777777" w:rsidR="007A7694" w:rsidRPr="00C12FA9" w:rsidRDefault="00A317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Seyahat</w:t>
      </w:r>
      <w:proofErr w:type="spellEnd"/>
    </w:p>
    <w:p w14:paraId="0000004B" w14:textId="77777777" w:rsidR="007A7694" w:rsidRPr="00C12FA9" w:rsidRDefault="00A317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Ekipman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aksesuarlar</w:t>
      </w:r>
      <w:proofErr w:type="spellEnd"/>
    </w:p>
    <w:p w14:paraId="0000004C" w14:textId="77777777" w:rsidR="007A7694" w:rsidRPr="00C12FA9" w:rsidRDefault="00A317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Yerel </w:t>
      </w:r>
      <w:proofErr w:type="spellStart"/>
      <w:r w:rsidRPr="00C12FA9">
        <w:rPr>
          <w:color w:val="000000" w:themeColor="text1"/>
          <w:sz w:val="24"/>
          <w:szCs w:val="24"/>
        </w:rPr>
        <w:t>ofis</w:t>
      </w:r>
      <w:proofErr w:type="spellEnd"/>
    </w:p>
    <w:p w14:paraId="0000004D" w14:textId="77777777" w:rsidR="007A7694" w:rsidRPr="00C12FA9" w:rsidRDefault="00A317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>/</w:t>
      </w:r>
      <w:proofErr w:type="spellStart"/>
      <w:r w:rsidRPr="00C12FA9">
        <w:rPr>
          <w:color w:val="000000" w:themeColor="text1"/>
          <w:sz w:val="24"/>
          <w:szCs w:val="24"/>
        </w:rPr>
        <w:t>hizmetler</w:t>
      </w:r>
      <w:proofErr w:type="spellEnd"/>
    </w:p>
    <w:p w14:paraId="0000004E" w14:textId="77777777" w:rsidR="007A7694" w:rsidRPr="00C12FA9" w:rsidRDefault="00A317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</w:p>
    <w:p w14:paraId="0000004F" w14:textId="77777777" w:rsidR="007A7694" w:rsidRPr="00C12FA9" w:rsidRDefault="007A76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</w:p>
    <w:p w14:paraId="00000050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>"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</w:t>
      </w:r>
      <w:proofErr w:type="spellEnd"/>
      <w:r w:rsidRPr="00C12FA9">
        <w:rPr>
          <w:color w:val="000000" w:themeColor="text1"/>
          <w:sz w:val="24"/>
          <w:szCs w:val="24"/>
        </w:rPr>
        <w:t xml:space="preserve">" </w:t>
      </w:r>
      <w:proofErr w:type="spellStart"/>
      <w:r w:rsidRPr="00C12FA9">
        <w:rPr>
          <w:color w:val="000000" w:themeColor="text1"/>
          <w:sz w:val="24"/>
          <w:szCs w:val="24"/>
        </w:rPr>
        <w:t>şablonunda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ayrıntıları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kalemleri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burada</w:t>
      </w:r>
      <w:proofErr w:type="spellEnd"/>
      <w:r w:rsidRPr="00C12FA9">
        <w:rPr>
          <w:color w:val="000000" w:themeColor="text1"/>
          <w:sz w:val="24"/>
          <w:szCs w:val="24"/>
        </w:rPr>
        <w:t xml:space="preserve"> alt </w:t>
      </w:r>
      <w:proofErr w:type="spellStart"/>
      <w:r w:rsidRPr="00C12FA9">
        <w:rPr>
          <w:color w:val="000000" w:themeColor="text1"/>
          <w:sz w:val="24"/>
          <w:szCs w:val="24"/>
        </w:rPr>
        <w:t>kategorileri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içerebilir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</w:p>
    <w:p w14:paraId="00000051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>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Istanbul her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uygunluk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değerlendirmesini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yapabilmesi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tüm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kalemlerinin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tanımının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yeterli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ayrıntıyı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temel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bileşenlere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ayrılması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52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 w:themeColor="text1"/>
          <w:sz w:val="26"/>
          <w:szCs w:val="26"/>
        </w:rPr>
      </w:pPr>
    </w:p>
    <w:p w14:paraId="00000053" w14:textId="3C09BD6B" w:rsidR="007A7694" w:rsidRPr="00E1240C" w:rsidRDefault="00A31760" w:rsidP="00E1240C">
      <w:pPr>
        <w:pStyle w:val="ListParagraph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E1240C">
        <w:rPr>
          <w:b/>
          <w:color w:val="000000" w:themeColor="text1"/>
          <w:sz w:val="26"/>
          <w:szCs w:val="26"/>
        </w:rPr>
        <w:t>Proje</w:t>
      </w:r>
      <w:proofErr w:type="spellEnd"/>
      <w:r w:rsidRPr="00E1240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E1240C">
        <w:rPr>
          <w:b/>
          <w:color w:val="000000" w:themeColor="text1"/>
          <w:sz w:val="26"/>
          <w:szCs w:val="26"/>
        </w:rPr>
        <w:t>bütçe</w:t>
      </w:r>
      <w:proofErr w:type="spellEnd"/>
      <w:r w:rsidRPr="00E1240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E1240C">
        <w:rPr>
          <w:b/>
          <w:color w:val="000000" w:themeColor="text1"/>
          <w:sz w:val="26"/>
          <w:szCs w:val="26"/>
        </w:rPr>
        <w:t>planının</w:t>
      </w:r>
      <w:proofErr w:type="spellEnd"/>
      <w:r w:rsidRPr="00E1240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E1240C">
        <w:rPr>
          <w:b/>
          <w:color w:val="000000" w:themeColor="text1"/>
          <w:sz w:val="26"/>
          <w:szCs w:val="26"/>
        </w:rPr>
        <w:t>gerekçelendirilmesi</w:t>
      </w:r>
      <w:proofErr w:type="spellEnd"/>
      <w:r w:rsidRPr="00E1240C">
        <w:rPr>
          <w:b/>
          <w:color w:val="000000" w:themeColor="text1"/>
          <w:sz w:val="26"/>
          <w:szCs w:val="26"/>
        </w:rPr>
        <w:t xml:space="preserve"> </w:t>
      </w:r>
    </w:p>
    <w:p w14:paraId="00000054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gerekçesi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sütun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içerir</w:t>
      </w:r>
      <w:proofErr w:type="spellEnd"/>
      <w:r w:rsidRPr="00C12FA9">
        <w:rPr>
          <w:color w:val="000000" w:themeColor="text1"/>
          <w:sz w:val="24"/>
          <w:szCs w:val="24"/>
        </w:rPr>
        <w:t>:</w:t>
      </w:r>
    </w:p>
    <w:p w14:paraId="00000055" w14:textId="77777777" w:rsidR="007A7694" w:rsidRPr="00C12FA9" w:rsidRDefault="00A317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C12FA9">
        <w:rPr>
          <w:b/>
          <w:color w:val="000000" w:themeColor="text1"/>
          <w:sz w:val="24"/>
          <w:szCs w:val="24"/>
        </w:rPr>
        <w:t>Maliyet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pozisyonlarının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açıklaması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sahibi</w:t>
      </w:r>
      <w:proofErr w:type="spellEnd"/>
      <w:r w:rsidRPr="00C12FA9">
        <w:rPr>
          <w:color w:val="000000" w:themeColor="text1"/>
          <w:sz w:val="24"/>
          <w:szCs w:val="24"/>
        </w:rPr>
        <w:t xml:space="preserve">, her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kalemini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gerekliliğini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bunların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nasıl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ilgili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olduğunu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açıklamalıdır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Örneğin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personel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sayısı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gösterilecektir</w:t>
      </w:r>
      <w:proofErr w:type="spellEnd"/>
      <w:r w:rsidRPr="00C12FA9">
        <w:rPr>
          <w:color w:val="000000" w:themeColor="text1"/>
          <w:sz w:val="24"/>
          <w:szCs w:val="24"/>
        </w:rPr>
        <w:t xml:space="preserve">. Ek </w:t>
      </w:r>
      <w:proofErr w:type="spellStart"/>
      <w:r w:rsidRPr="00C12FA9">
        <w:rPr>
          <w:color w:val="000000" w:themeColor="text1"/>
          <w:sz w:val="24"/>
          <w:szCs w:val="24"/>
        </w:rPr>
        <w:t>bilgi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sağlamak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sahibi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tabloyu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gerektiğinde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daha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fazla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satır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ekleyerek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uzatabilir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56" w14:textId="77777777" w:rsidR="007A7694" w:rsidRPr="00C12FA9" w:rsidRDefault="00A317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C12FA9">
        <w:rPr>
          <w:b/>
          <w:color w:val="000000" w:themeColor="text1"/>
          <w:sz w:val="24"/>
          <w:szCs w:val="24"/>
        </w:rPr>
        <w:t>Tahmini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b/>
          <w:color w:val="000000" w:themeColor="text1"/>
          <w:sz w:val="24"/>
          <w:szCs w:val="24"/>
        </w:rPr>
        <w:t>gerekçesi</w:t>
      </w:r>
      <w:proofErr w:type="spellEnd"/>
      <w:r w:rsidRPr="00C12FA9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sahibi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tahmin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hesaplanmasını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gerekçelendirmek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neden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belirtmelidir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Örneğin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başvuru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sahibi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personel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dağılımında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listelenen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kişilerin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her </w:t>
      </w:r>
      <w:proofErr w:type="spellStart"/>
      <w:r w:rsidRPr="00C12FA9">
        <w:rPr>
          <w:color w:val="000000" w:themeColor="text1"/>
          <w:sz w:val="24"/>
          <w:szCs w:val="24"/>
        </w:rPr>
        <w:t>birine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faaliyeti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belirtebilir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. Gerekçe, </w:t>
      </w:r>
      <w:proofErr w:type="spellStart"/>
      <w:r w:rsidRPr="00C12FA9">
        <w:rPr>
          <w:color w:val="000000" w:themeColor="text1"/>
          <w:sz w:val="24"/>
          <w:szCs w:val="24"/>
        </w:rPr>
        <w:t>gerçekleşecek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neden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zorunlu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yapıldığını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açıkça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göstermelidir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57" w14:textId="77777777" w:rsidR="007A7694" w:rsidRPr="00C12FA9" w:rsidRDefault="00A31760">
      <w:pPr>
        <w:pStyle w:val="Heading1"/>
        <w:keepLines w:val="0"/>
        <w:widowControl w:val="0"/>
        <w:numPr>
          <w:ilvl w:val="0"/>
          <w:numId w:val="8"/>
        </w:numPr>
        <w:spacing w:before="480" w:after="60" w:line="360" w:lineRule="auto"/>
        <w:jc w:val="both"/>
        <w:rPr>
          <w:b/>
          <w:color w:val="000000" w:themeColor="text1"/>
          <w:sz w:val="26"/>
          <w:szCs w:val="26"/>
        </w:rPr>
      </w:pPr>
      <w:r w:rsidRPr="00C12FA9">
        <w:rPr>
          <w:b/>
          <w:color w:val="000000" w:themeColor="text1"/>
          <w:sz w:val="26"/>
          <w:szCs w:val="26"/>
        </w:rPr>
        <w:t>UYGUN / UYGUN OLMAYAN MALİYETLERE İLİŞKİN AÇIKLAMALAR</w:t>
      </w:r>
    </w:p>
    <w:p w14:paraId="00000058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Hibe </w:t>
      </w:r>
      <w:proofErr w:type="spellStart"/>
      <w:r w:rsidRPr="00C12FA9">
        <w:rPr>
          <w:color w:val="000000" w:themeColor="text1"/>
          <w:sz w:val="24"/>
          <w:szCs w:val="24"/>
        </w:rPr>
        <w:t>kapsamında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yalnızca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karşılanabilir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59" w14:textId="24D24AE5" w:rsidR="007A7694" w:rsidRPr="00C12FA9" w:rsidRDefault="00A31760" w:rsidP="00C12FA9">
      <w:pPr>
        <w:pStyle w:val="Heading2"/>
        <w:keepLines w:val="0"/>
        <w:widowControl w:val="0"/>
        <w:numPr>
          <w:ilvl w:val="1"/>
          <w:numId w:val="22"/>
        </w:numPr>
        <w:spacing w:before="360" w:after="180" w:line="360" w:lineRule="auto"/>
        <w:jc w:val="both"/>
        <w:rPr>
          <w:color w:val="000000" w:themeColor="text1"/>
        </w:rPr>
      </w:pPr>
      <w:r w:rsidRPr="00C12FA9">
        <w:rPr>
          <w:b/>
          <w:color w:val="000000" w:themeColor="text1"/>
        </w:rPr>
        <w:t xml:space="preserve">Uygun </w:t>
      </w:r>
      <w:proofErr w:type="spellStart"/>
      <w:r w:rsidRPr="00C12FA9">
        <w:rPr>
          <w:b/>
          <w:color w:val="000000" w:themeColor="text1"/>
        </w:rPr>
        <w:t>maliyetler</w:t>
      </w:r>
      <w:proofErr w:type="spellEnd"/>
      <w:r w:rsidRPr="00C12FA9">
        <w:rPr>
          <w:b/>
          <w:color w:val="000000" w:themeColor="text1"/>
        </w:rPr>
        <w:t xml:space="preserve"> </w:t>
      </w:r>
      <w:proofErr w:type="spellStart"/>
      <w:r w:rsidRPr="00C12FA9">
        <w:rPr>
          <w:b/>
          <w:color w:val="000000" w:themeColor="text1"/>
        </w:rPr>
        <w:t>için</w:t>
      </w:r>
      <w:proofErr w:type="spellEnd"/>
      <w:r w:rsidRPr="00C12FA9">
        <w:rPr>
          <w:b/>
          <w:color w:val="000000" w:themeColor="text1"/>
        </w:rPr>
        <w:t xml:space="preserve"> </w:t>
      </w:r>
      <w:proofErr w:type="spellStart"/>
      <w:r w:rsidRPr="00C12FA9">
        <w:rPr>
          <w:b/>
          <w:color w:val="000000" w:themeColor="text1"/>
        </w:rPr>
        <w:t>kriterler</w:t>
      </w:r>
      <w:proofErr w:type="spellEnd"/>
    </w:p>
    <w:p w14:paraId="0000005A" w14:textId="77777777" w:rsidR="007A7694" w:rsidRPr="00C12FA9" w:rsidRDefault="00A31760">
      <w:pPr>
        <w:pStyle w:val="Heading2"/>
        <w:keepLines w:val="0"/>
        <w:widowControl w:val="0"/>
        <w:spacing w:before="360" w:after="18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AB </w:t>
      </w:r>
      <w:proofErr w:type="spellStart"/>
      <w:r w:rsidRPr="00C12FA9">
        <w:rPr>
          <w:color w:val="000000" w:themeColor="text1"/>
          <w:sz w:val="24"/>
          <w:szCs w:val="24"/>
        </w:rPr>
        <w:t>finansmanı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olduğu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düşünülen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kategorileri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aşağıda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maddenin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koşullarını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karşılamalıdır</w:t>
      </w:r>
      <w:proofErr w:type="spellEnd"/>
      <w:r w:rsidRPr="00C12FA9">
        <w:rPr>
          <w:color w:val="000000" w:themeColor="text1"/>
          <w:sz w:val="24"/>
          <w:szCs w:val="24"/>
        </w:rPr>
        <w:t>:</w:t>
      </w:r>
    </w:p>
    <w:p w14:paraId="0000005B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C12FA9" w:rsidRPr="00C12FA9" w14:paraId="20526163" w14:textId="77777777">
        <w:trPr>
          <w:trHeight w:val="1301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C" w14:textId="77777777" w:rsidR="007A7694" w:rsidRPr="00C12FA9" w:rsidRDefault="00A31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12FA9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§ 5 Uygun </w:t>
            </w:r>
            <w:proofErr w:type="spellStart"/>
            <w:r w:rsidRPr="00C12FA9">
              <w:rPr>
                <w:b/>
                <w:color w:val="000000" w:themeColor="text1"/>
                <w:sz w:val="24"/>
                <w:szCs w:val="24"/>
              </w:rPr>
              <w:t>maliyetler</w:t>
            </w:r>
            <w:proofErr w:type="spellEnd"/>
            <w:r w:rsidRPr="00C12FA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b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b/>
                <w:color w:val="000000" w:themeColor="text1"/>
                <w:sz w:val="24"/>
                <w:szCs w:val="24"/>
              </w:rPr>
              <w:t xml:space="preserve"> mal </w:t>
            </w:r>
            <w:proofErr w:type="spellStart"/>
            <w:r w:rsidRPr="00C12FA9">
              <w:rPr>
                <w:b/>
                <w:color w:val="000000" w:themeColor="text1"/>
                <w:sz w:val="24"/>
                <w:szCs w:val="24"/>
              </w:rPr>
              <w:t>satın</w:t>
            </w:r>
            <w:proofErr w:type="spellEnd"/>
            <w:r w:rsidRPr="00C12FA9">
              <w:rPr>
                <w:b/>
                <w:color w:val="000000" w:themeColor="text1"/>
                <w:sz w:val="24"/>
                <w:szCs w:val="24"/>
              </w:rPr>
              <w:t xml:space="preserve"> alma</w:t>
            </w:r>
          </w:p>
          <w:p w14:paraId="0000005D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(1) Bir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projenin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uygun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maliyetleri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>,</w:t>
            </w:r>
          </w:p>
          <w:p w14:paraId="0000005E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a)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hibenin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amacı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ile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ilgili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projenin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uygulanması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için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gerekli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olmalı</w:t>
            </w:r>
            <w:proofErr w:type="spellEnd"/>
          </w:p>
          <w:p w14:paraId="0000005F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b)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fiilen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yararlanıcı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tarafından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yapılmalı</w:t>
            </w:r>
            <w:proofErr w:type="spellEnd"/>
          </w:p>
          <w:p w14:paraId="00000060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c)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hibe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süresi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içinde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gerçekleşmeli</w:t>
            </w:r>
            <w:proofErr w:type="spellEnd"/>
          </w:p>
          <w:p w14:paraId="00000061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d)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bütçe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finansman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planında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açıkça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belirtilmiş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olmalı</w:t>
            </w:r>
            <w:proofErr w:type="spellEnd"/>
          </w:p>
          <w:p w14:paraId="00000062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e)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yürürlükteki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vergi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sosyal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güvenlik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hükümlerinin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gerekliliklerini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karşılamalı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</w:p>
          <w:p w14:paraId="00000063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f)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yukarıdaki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kriterlere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uygun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olduğu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kadar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özellikle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ekonomi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verimlilik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açısından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sağlam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mali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yönetim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ilkesine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uygun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olmalıdır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>.</w:t>
            </w:r>
          </w:p>
          <w:p w14:paraId="00000064" w14:textId="77777777" w:rsidR="007A7694" w:rsidRPr="00C12FA9" w:rsidRDefault="007A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0000065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(2) Sağlam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mali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yönetim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ekonomi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nedenlerinin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yanı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sıra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fırsat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eşitliğini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şeffaflığı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teşvik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etmek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için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herhangi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iş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malzeme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hizmet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ile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tavizler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her zaman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rekabetçi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teklif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temelinde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verilecektir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Yararlanıcı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özellikle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az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farklı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tedarikçiden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teklif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talep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etmeli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veya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kamu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ihalesi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yapmalı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ekonomik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teklifi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kabul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etmeli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ihale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prosedürünün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izlenebilir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bir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kaydını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tutmalıdır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Ayrıca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prosedür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yararlanıcı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için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geçerli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olan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kamu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ihale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kanununa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ayrıca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AB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tarafından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konulan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ilgili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koşullara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tabidir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Ticari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indirimler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kullanılmalı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üzerinde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mutabık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kalınmalı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çıkar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çatışmalarından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kaçınılmalıdır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Satın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alınan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mallar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hibe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verme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süresinin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sonunda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sözleşmede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tanımlanan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hibe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amacı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kapsamında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kullanılacaktır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>.</w:t>
            </w:r>
          </w:p>
          <w:p w14:paraId="00000066" w14:textId="77777777" w:rsidR="007A7694" w:rsidRPr="00C12FA9" w:rsidRDefault="007A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0000067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Bu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sınırlar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politik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veya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ekonomik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nedenlerle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uygun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görüldüğü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sürece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özel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koşullar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altında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genişletilebilir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00000068" w14:textId="77777777" w:rsidR="007A7694" w:rsidRPr="00C12FA9" w:rsidRDefault="007A7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0000069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(3)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Faydalanıcı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temin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ettiği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malları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hibe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süresi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sona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erdikten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sonra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kullanmaya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devam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etmekte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serbesttir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>.</w:t>
            </w:r>
          </w:p>
          <w:p w14:paraId="0000006A" w14:textId="77777777" w:rsidR="007A7694" w:rsidRPr="00C12FA9" w:rsidRDefault="00A31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  <w:tab w:val="left" w:pos="8520"/>
              </w:tabs>
              <w:spacing w:after="0" w:line="360" w:lineRule="auto"/>
              <w:jc w:val="both"/>
              <w:rPr>
                <w:color w:val="000000" w:themeColor="text1"/>
              </w:rPr>
            </w:pPr>
            <w:r w:rsidRPr="00C12FA9">
              <w:rPr>
                <w:color w:val="000000" w:themeColor="text1"/>
                <w:sz w:val="24"/>
                <w:szCs w:val="24"/>
              </w:rPr>
              <w:t xml:space="preserve">(4) Teknik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cihazlar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diğer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teçhizat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yalnızca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proje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çalışması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için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özel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olarak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kullanılacaksa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edinilebilir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. Teknik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cihazlar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ekipmanın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envanteri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faydalanıcı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tarafından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alınacaktır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başka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amaçlarla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kullanılamaz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veya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2FA9">
              <w:rPr>
                <w:color w:val="000000" w:themeColor="text1"/>
                <w:sz w:val="24"/>
                <w:szCs w:val="24"/>
              </w:rPr>
              <w:t>satılamaz</w:t>
            </w:r>
            <w:proofErr w:type="spellEnd"/>
            <w:r w:rsidRPr="00C12FA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000006B" w14:textId="77777777" w:rsidR="007A7694" w:rsidRPr="00C12FA9" w:rsidRDefault="007A76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 w:themeColor="text1"/>
          <w:sz w:val="24"/>
          <w:szCs w:val="24"/>
        </w:rPr>
      </w:pPr>
    </w:p>
    <w:p w14:paraId="0000006C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ind w:left="720"/>
        <w:jc w:val="both"/>
        <w:rPr>
          <w:color w:val="000000" w:themeColor="text1"/>
          <w:sz w:val="24"/>
          <w:szCs w:val="24"/>
        </w:rPr>
      </w:pPr>
    </w:p>
    <w:p w14:paraId="0000006D" w14:textId="77777777" w:rsidR="007A7694" w:rsidRPr="00C12FA9" w:rsidRDefault="00A317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lastRenderedPageBreak/>
        <w:t>Ayrıca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yalnızca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aşağıdaki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koşulları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karşılayan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uygundur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6E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sözleşmesi</w:t>
      </w:r>
      <w:r w:rsidRPr="00C12FA9">
        <w:rPr>
          <w:color w:val="000000" w:themeColor="text1"/>
        </w:rPr>
        <w:t>ne</w:t>
      </w:r>
      <w:proofErr w:type="spellEnd"/>
      <w:r w:rsidRPr="00C12FA9">
        <w:rPr>
          <w:color w:val="000000" w:themeColor="text1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uygulanması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ortaya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çıkar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Özellikle</w:t>
      </w:r>
      <w:proofErr w:type="spellEnd"/>
      <w:r w:rsidRPr="00C12FA9">
        <w:rPr>
          <w:color w:val="000000" w:themeColor="text1"/>
          <w:sz w:val="24"/>
          <w:szCs w:val="24"/>
        </w:rPr>
        <w:t xml:space="preserve">: </w:t>
      </w:r>
    </w:p>
    <w:p w14:paraId="0000006F" w14:textId="77777777" w:rsidR="007A7694" w:rsidRPr="00C12FA9" w:rsidRDefault="00A317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İş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hizmet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uygulama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aşamasında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gerçekleştirilen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ifade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eder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Teslimat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boyunca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teslimatı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kurulumunu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ifade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eder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süresinin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bitiminden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sonra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ileride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alınacak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hizmetler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inşaat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işleri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teslimatlar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imzalanması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sipariş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verilmesi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masrafların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karşılanması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şartı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karşılamaz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0" w14:textId="77777777" w:rsidR="007A7694" w:rsidRPr="00C12FA9" w:rsidRDefault="00A317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Tahakkuk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masraflar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kapanış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raporları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sunulmadan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önce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ödenecektir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Tahmini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ödeme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tarihi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birlikte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kapanış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raporunda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listelenmeleri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şartıyla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geriye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dönük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ödenebilirler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1" w14:textId="77777777" w:rsidR="007A7694" w:rsidRPr="00C12FA9" w:rsidRDefault="00A317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aşamasının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bitiminden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sonra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oluşabilecek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harcama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incelemesi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denetim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nihai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değerlendirmesi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dahil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üzere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kapanış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raporlarıyla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ilgili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hariç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tutulur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2" w14:textId="77777777" w:rsidR="007A7694" w:rsidRPr="00C12FA9" w:rsidRDefault="00A317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Sözleşmeler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verme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prosedürleri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zaten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başlatılmış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faydalanıcılar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aşaması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başlamadan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önce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sonuçlandırabilir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3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74" w14:textId="77777777" w:rsidR="007A7694" w:rsidRPr="00C12FA9" w:rsidRDefault="00A317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tahmini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toplam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bütçede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gösterilir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5" w14:textId="77777777" w:rsidR="007A7694" w:rsidRPr="00C12FA9" w:rsidRDefault="00A317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Hibe </w:t>
      </w:r>
      <w:proofErr w:type="spellStart"/>
      <w:r w:rsidRPr="00C12FA9">
        <w:rPr>
          <w:color w:val="000000" w:themeColor="text1"/>
          <w:sz w:val="24"/>
          <w:szCs w:val="24"/>
        </w:rPr>
        <w:t>ile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uygulanması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maliyetlerdir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6" w14:textId="77777777" w:rsidR="007A7694" w:rsidRPr="00C12FA9" w:rsidRDefault="00A317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tanımlanabilir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doğrulanabilir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şekilde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faydalanıcının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muhasebe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kayıtlarına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geçerli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muhasebe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standartları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olağan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muhasebesi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uygulamalarına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kaydedilir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7" w14:textId="77777777" w:rsidR="007A7694" w:rsidRPr="00C12FA9" w:rsidRDefault="00A317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geçerli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vergi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sosyal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güvenlik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hükümlerinin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gerekliliklerini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karşılar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8" w14:textId="77777777" w:rsidR="007A7694" w:rsidRPr="00C12FA9" w:rsidRDefault="00A317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ancak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ekonomi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verimlilik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açısından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sağlam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yönetim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ilkesine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gerekçelendirildikleri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takdirde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bulunacaktır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9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ind w:left="720"/>
        <w:jc w:val="both"/>
        <w:rPr>
          <w:color w:val="000000" w:themeColor="text1"/>
          <w:sz w:val="24"/>
          <w:szCs w:val="24"/>
        </w:rPr>
      </w:pPr>
    </w:p>
    <w:p w14:paraId="0000007A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6"/>
          <w:szCs w:val="26"/>
        </w:rPr>
      </w:pPr>
      <w:r w:rsidRPr="00C12FA9">
        <w:rPr>
          <w:b/>
          <w:color w:val="000000" w:themeColor="text1"/>
          <w:sz w:val="26"/>
          <w:szCs w:val="26"/>
        </w:rPr>
        <w:t>2.2</w:t>
      </w:r>
      <w:r w:rsidRPr="00C12FA9">
        <w:rPr>
          <w:color w:val="000000" w:themeColor="text1"/>
          <w:sz w:val="26"/>
          <w:szCs w:val="26"/>
        </w:rPr>
        <w:t>.</w:t>
      </w:r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Doğrudan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maliyetler</w:t>
      </w:r>
      <w:proofErr w:type="spellEnd"/>
    </w:p>
    <w:p w14:paraId="0000007B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izlenebilen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maliyetlerdir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Projeye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bağlı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sözleşmesine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özel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dahil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hariç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tutulabilir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Aşağıdaki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kabul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edilebilir</w:t>
      </w:r>
      <w:proofErr w:type="spellEnd"/>
      <w:r w:rsidRPr="00C12FA9">
        <w:rPr>
          <w:color w:val="000000" w:themeColor="text1"/>
          <w:sz w:val="24"/>
          <w:szCs w:val="24"/>
        </w:rPr>
        <w:t>:</w:t>
      </w:r>
    </w:p>
    <w:p w14:paraId="0000007C" w14:textId="77777777" w:rsidR="007A7694" w:rsidRPr="00C12FA9" w:rsidRDefault="00A317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Sosyal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güvenlik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katkı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payları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ücretlerle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ilgili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dahil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vergi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öncesi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ücretlere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karşılık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personelinin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performansla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ilgili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primler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lastRenderedPageBreak/>
        <w:t>hariç</w:t>
      </w:r>
      <w:proofErr w:type="spellEnd"/>
      <w:r w:rsidRPr="00C12FA9">
        <w:rPr>
          <w:color w:val="000000" w:themeColor="text1"/>
          <w:sz w:val="24"/>
          <w:szCs w:val="24"/>
        </w:rPr>
        <w:t xml:space="preserve">); </w:t>
      </w:r>
      <w:proofErr w:type="spellStart"/>
      <w:r w:rsidRPr="00C12FA9">
        <w:rPr>
          <w:color w:val="000000" w:themeColor="text1"/>
          <w:sz w:val="24"/>
          <w:szCs w:val="24"/>
        </w:rPr>
        <w:t>maaşlar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ilgili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uygulanması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yükseltilmesinin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olduğuna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kanıtlarla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gerekçelendirilmedikçe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normalde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faydalanıcının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onaylanan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aşmamalıdır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7D" w14:textId="77777777" w:rsidR="007A7694" w:rsidRPr="00C12FA9" w:rsidRDefault="00A317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Faydalanıcının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kendi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kural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yönetmeliklerince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sorumlu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olduğu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aşmadığı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sürece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personeli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alan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kişiler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seyahat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konaklama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</w:p>
    <w:p w14:paraId="0000007E" w14:textId="77777777" w:rsidR="007A7694" w:rsidRPr="00C12FA9" w:rsidRDefault="00A3176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Mülkiyeti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devredildiği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sürece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özellikle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kullanılacak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ekipman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aksesuarların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(yeni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kullanılmış</w:t>
      </w:r>
      <w:proofErr w:type="spellEnd"/>
      <w:r w:rsidRPr="00C12FA9">
        <w:rPr>
          <w:color w:val="000000" w:themeColor="text1"/>
          <w:sz w:val="24"/>
          <w:szCs w:val="24"/>
        </w:rPr>
        <w:t xml:space="preserve">) </w:t>
      </w:r>
      <w:proofErr w:type="spellStart"/>
      <w:r w:rsidRPr="00C12FA9">
        <w:rPr>
          <w:color w:val="000000" w:themeColor="text1"/>
          <w:sz w:val="24"/>
          <w:szCs w:val="24"/>
        </w:rPr>
        <w:t>satın</w:t>
      </w:r>
      <w:proofErr w:type="spellEnd"/>
      <w:r w:rsidRPr="00C12FA9">
        <w:rPr>
          <w:color w:val="000000" w:themeColor="text1"/>
          <w:sz w:val="24"/>
          <w:szCs w:val="24"/>
        </w:rPr>
        <w:t xml:space="preserve"> alma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</w:p>
    <w:p w14:paraId="0000007F" w14:textId="77777777" w:rsidR="007A7694" w:rsidRPr="00C12FA9" w:rsidRDefault="00A3176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Özellikle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kullanılacak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ekipman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aksesuarların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(yeni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kullanılmış</w:t>
      </w:r>
      <w:proofErr w:type="spellEnd"/>
      <w:r w:rsidRPr="00C12FA9">
        <w:rPr>
          <w:color w:val="000000" w:themeColor="text1"/>
          <w:sz w:val="24"/>
          <w:szCs w:val="24"/>
        </w:rPr>
        <w:t xml:space="preserve">) </w:t>
      </w:r>
      <w:proofErr w:type="spellStart"/>
      <w:r w:rsidRPr="00C12FA9">
        <w:rPr>
          <w:color w:val="000000" w:themeColor="text1"/>
          <w:sz w:val="24"/>
          <w:szCs w:val="24"/>
        </w:rPr>
        <w:t>amortisman</w:t>
      </w:r>
      <w:proofErr w:type="spellEnd"/>
      <w:r w:rsidRPr="00C12FA9">
        <w:rPr>
          <w:color w:val="000000" w:themeColor="text1"/>
          <w:sz w:val="24"/>
          <w:szCs w:val="24"/>
        </w:rPr>
        <w:t xml:space="preserve">, leasing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kira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giderleri</w:t>
      </w:r>
      <w:proofErr w:type="spellEnd"/>
    </w:p>
    <w:p w14:paraId="00000080" w14:textId="77777777" w:rsidR="007A7694" w:rsidRPr="00C12FA9" w:rsidRDefault="00A3176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başvurusunda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şekilde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gerekçelendirilmiş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tam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açıklanmış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ofisi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kurma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olduğu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sürece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ofisi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ilgili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kira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giderleri</w:t>
      </w:r>
      <w:proofErr w:type="spellEnd"/>
    </w:p>
    <w:p w14:paraId="00000081" w14:textId="77777777" w:rsidR="007A7694" w:rsidRPr="00C12FA9" w:rsidRDefault="00A3176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Sarf </w:t>
      </w:r>
      <w:proofErr w:type="spellStart"/>
      <w:r w:rsidRPr="00C12FA9">
        <w:rPr>
          <w:color w:val="000000" w:themeColor="text1"/>
          <w:sz w:val="24"/>
          <w:szCs w:val="24"/>
        </w:rPr>
        <w:t>malzemesi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kırtasiye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malzemeleri</w:t>
      </w:r>
      <w:proofErr w:type="spellEnd"/>
      <w:r w:rsidRPr="00C12FA9">
        <w:rPr>
          <w:color w:val="000000" w:themeColor="text1"/>
          <w:sz w:val="24"/>
          <w:szCs w:val="24"/>
        </w:rPr>
        <w:t>)</w:t>
      </w:r>
    </w:p>
    <w:p w14:paraId="00000082" w14:textId="77777777" w:rsidR="007A7694" w:rsidRPr="00C12FA9" w:rsidRDefault="00A3176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faydalanıcı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tarafından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ayrılan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hizmet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tedarik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öncelikli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işlerin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; hem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başlangıcında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hem de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sırasında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kontrol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süreci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83" w14:textId="77777777" w:rsidR="007A7694" w:rsidRPr="00C12FA9" w:rsidRDefault="00A3176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Sözleşmenin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gereklerinden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kaynaklanan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bilginin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yayılması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eyleme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özgü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değerlendirme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denetimler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çeviri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fotokopi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sigorta</w:t>
      </w:r>
      <w:proofErr w:type="spellEnd"/>
      <w:r w:rsidRPr="00C12FA9">
        <w:rPr>
          <w:color w:val="000000" w:themeColor="text1"/>
          <w:sz w:val="24"/>
          <w:szCs w:val="24"/>
        </w:rPr>
        <w:t xml:space="preserve"> vb.), </w:t>
      </w:r>
      <w:proofErr w:type="spellStart"/>
      <w:r w:rsidRPr="00C12FA9">
        <w:rPr>
          <w:color w:val="000000" w:themeColor="text1"/>
          <w:sz w:val="24"/>
          <w:szCs w:val="24"/>
        </w:rPr>
        <w:t>mali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hizmetlerin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özellikle</w:t>
      </w:r>
      <w:proofErr w:type="spellEnd"/>
      <w:r w:rsidRPr="00C12FA9">
        <w:rPr>
          <w:color w:val="000000" w:themeColor="text1"/>
          <w:sz w:val="24"/>
          <w:szCs w:val="24"/>
        </w:rPr>
        <w:t xml:space="preserve"> para </w:t>
      </w:r>
      <w:proofErr w:type="spellStart"/>
      <w:r w:rsidRPr="00C12FA9">
        <w:rPr>
          <w:color w:val="000000" w:themeColor="text1"/>
          <w:sz w:val="24"/>
          <w:szCs w:val="24"/>
        </w:rPr>
        <w:t>transferi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gerekirse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banka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garantileri</w:t>
      </w:r>
      <w:proofErr w:type="spellEnd"/>
      <w:r w:rsidRPr="00C12FA9">
        <w:rPr>
          <w:color w:val="000000" w:themeColor="text1"/>
          <w:sz w:val="24"/>
          <w:szCs w:val="24"/>
        </w:rPr>
        <w:t>)</w:t>
      </w:r>
      <w:r w:rsidRPr="00C12FA9">
        <w:rPr>
          <w:color w:val="000000" w:themeColor="text1"/>
          <w:sz w:val="24"/>
          <w:szCs w:val="24"/>
        </w:rPr>
        <w:br/>
      </w:r>
    </w:p>
    <w:p w14:paraId="00000084" w14:textId="77777777" w:rsidR="007A7694" w:rsidRPr="00C12FA9" w:rsidRDefault="00A3176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Faydalanıcı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tarafından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ödenen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kendilerine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ödenmeyen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gümrük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vergileri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vergiler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harçlar</w:t>
      </w:r>
      <w:proofErr w:type="spellEnd"/>
    </w:p>
    <w:p w14:paraId="00000085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 w:themeColor="text1"/>
          <w:sz w:val="24"/>
          <w:szCs w:val="24"/>
        </w:rPr>
      </w:pPr>
    </w:p>
    <w:p w14:paraId="00000086" w14:textId="77777777" w:rsidR="007A7694" w:rsidRPr="00C12FA9" w:rsidRDefault="00A3176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İşletme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hibesi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durumunda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genel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dolaylı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>)</w:t>
      </w:r>
    </w:p>
    <w:p w14:paraId="00000087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 w:themeColor="text1"/>
          <w:sz w:val="24"/>
          <w:szCs w:val="24"/>
        </w:rPr>
      </w:pPr>
    </w:p>
    <w:p w14:paraId="00000088" w14:textId="77777777" w:rsidR="007A7694" w:rsidRPr="00C12FA9" w:rsidRDefault="00A31760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C12FA9">
        <w:rPr>
          <w:b/>
          <w:color w:val="000000" w:themeColor="text1"/>
          <w:sz w:val="26"/>
          <w:szCs w:val="26"/>
        </w:rPr>
        <w:t>Tanımlanmış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fayda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fonu</w:t>
      </w:r>
      <w:proofErr w:type="spellEnd"/>
    </w:p>
    <w:p w14:paraId="00000089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Hibenin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ödenmesi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tamamen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kısmen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önceden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tanımlanmış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kilometre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taşları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performans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göstergeleri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temelinde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ulaşılan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sonuçların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edilmesine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bağlı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tür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tanımlanmış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fayda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fonu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bu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kılavuzda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gerekliliklerine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tabi </w:t>
      </w:r>
      <w:proofErr w:type="spellStart"/>
      <w:r w:rsidRPr="00C12FA9">
        <w:rPr>
          <w:color w:val="000000" w:themeColor="text1"/>
          <w:sz w:val="24"/>
          <w:szCs w:val="24"/>
        </w:rPr>
        <w:lastRenderedPageBreak/>
        <w:t>değildir</w:t>
      </w:r>
      <w:proofErr w:type="spellEnd"/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sonuçların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edilmesindeki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ölçümler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araçlar</w:t>
      </w:r>
      <w:proofErr w:type="spellEnd"/>
      <w:r w:rsidRPr="00C12FA9">
        <w:rPr>
          <w:color w:val="000000" w:themeColor="text1"/>
          <w:sz w:val="24"/>
          <w:szCs w:val="24"/>
        </w:rPr>
        <w:t xml:space="preserve">, her </w:t>
      </w:r>
      <w:proofErr w:type="spellStart"/>
      <w:r w:rsidRPr="00C12FA9">
        <w:rPr>
          <w:color w:val="000000" w:themeColor="text1"/>
          <w:sz w:val="24"/>
          <w:szCs w:val="24"/>
        </w:rPr>
        <w:t>projeye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özgü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sözleşmesinde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</w:rPr>
        <w:t>açıklanır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8A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Elde </w:t>
      </w:r>
      <w:proofErr w:type="spellStart"/>
      <w:r w:rsidRPr="00C12FA9">
        <w:rPr>
          <w:color w:val="000000" w:themeColor="text1"/>
          <w:sz w:val="24"/>
          <w:szCs w:val="24"/>
        </w:rPr>
        <w:t>edilen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sonuca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ödenecek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tutar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sözleşmesinde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ayrıntılı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belirtil</w:t>
      </w:r>
      <w:r w:rsidRPr="00C12FA9">
        <w:rPr>
          <w:color w:val="000000" w:themeColor="text1"/>
        </w:rPr>
        <w:t>ir</w:t>
      </w:r>
      <w:proofErr w:type="spellEnd"/>
      <w:r w:rsidRPr="00C12FA9">
        <w:rPr>
          <w:color w:val="000000" w:themeColor="text1"/>
          <w:sz w:val="24"/>
          <w:szCs w:val="24"/>
        </w:rPr>
        <w:t xml:space="preserve">. Elde </w:t>
      </w:r>
      <w:proofErr w:type="spellStart"/>
      <w:r w:rsidRPr="00C12FA9">
        <w:rPr>
          <w:color w:val="000000" w:themeColor="text1"/>
          <w:sz w:val="24"/>
          <w:szCs w:val="24"/>
        </w:rPr>
        <w:t>edilen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ödenecek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miktarı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yöntemi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sağlam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yönetim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ilkesi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dikkate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alınarak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çifte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kaçınarak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sözleşmesinde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açıkça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sunul</w:t>
      </w:r>
      <w:r w:rsidRPr="00C12FA9">
        <w:rPr>
          <w:color w:val="000000" w:themeColor="text1"/>
        </w:rPr>
        <w:t>ur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8B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Faydalanıcı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sonuçların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edilmesiyle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ilgili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Istanbul’a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bildirmek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zorunda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değildir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Fakat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faydalanıcı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ortaya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çıkan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sonuçların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edildiğini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kanıtlamak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ilgili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muhasebe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belgeleri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de </w:t>
      </w:r>
      <w:proofErr w:type="spellStart"/>
      <w:r w:rsidRPr="00C12FA9">
        <w:rPr>
          <w:color w:val="000000" w:themeColor="text1"/>
          <w:sz w:val="24"/>
          <w:szCs w:val="24"/>
        </w:rPr>
        <w:t>dahil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üzere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tüm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kanıtları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sağlamalıdır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8C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8D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6"/>
          <w:szCs w:val="26"/>
        </w:rPr>
      </w:pPr>
    </w:p>
    <w:p w14:paraId="0000008E" w14:textId="77777777" w:rsidR="007A7694" w:rsidRPr="00C12FA9" w:rsidRDefault="00A3176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6"/>
          <w:szCs w:val="26"/>
        </w:rPr>
      </w:pPr>
      <w:bookmarkStart w:id="3" w:name="_heading=h.3znysh7" w:colFirst="0" w:colLast="0"/>
      <w:bookmarkEnd w:id="3"/>
      <w:proofErr w:type="spellStart"/>
      <w:r w:rsidRPr="00C12FA9">
        <w:rPr>
          <w:b/>
          <w:color w:val="000000" w:themeColor="text1"/>
          <w:sz w:val="26"/>
          <w:szCs w:val="26"/>
        </w:rPr>
        <w:t>Hesaplama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yöntemi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olarak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basitleştirilmiş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maliyet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seçenekleri</w:t>
      </w:r>
      <w:proofErr w:type="spellEnd"/>
    </w:p>
    <w:p w14:paraId="0000008F" w14:textId="77777777" w:rsidR="007A7694" w:rsidRPr="00C12FA9" w:rsidRDefault="007A76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</w:p>
    <w:p w14:paraId="00000090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>“</w:t>
      </w:r>
      <w:proofErr w:type="spellStart"/>
      <w:r w:rsidRPr="00C12FA9">
        <w:rPr>
          <w:color w:val="000000" w:themeColor="text1"/>
          <w:sz w:val="24"/>
          <w:szCs w:val="24"/>
        </w:rPr>
        <w:t>Basitleştirilmiş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Seçenekleri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AB </w:t>
      </w:r>
      <w:proofErr w:type="spellStart"/>
      <w:proofErr w:type="gramStart"/>
      <w:r w:rsidRPr="00C12FA9">
        <w:rPr>
          <w:color w:val="000000" w:themeColor="text1"/>
          <w:sz w:val="24"/>
          <w:szCs w:val="24"/>
        </w:rPr>
        <w:t>Kılavuzu”ndaki</w:t>
      </w:r>
      <w:proofErr w:type="spellEnd"/>
      <w:proofErr w:type="gram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ayrıntılı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hükümlere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ayrıca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aşağıdaki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seçeneklerinden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birkaçını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içerebilir</w:t>
      </w:r>
      <w:proofErr w:type="spellEnd"/>
      <w:r w:rsidRPr="00C12FA9">
        <w:rPr>
          <w:color w:val="000000" w:themeColor="text1"/>
          <w:sz w:val="24"/>
          <w:szCs w:val="24"/>
        </w:rPr>
        <w:t>:</w:t>
      </w:r>
    </w:p>
    <w:p w14:paraId="00000091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• </w:t>
      </w:r>
      <w:proofErr w:type="spellStart"/>
      <w:r w:rsidRPr="00C12FA9">
        <w:rPr>
          <w:color w:val="000000" w:themeColor="text1"/>
          <w:sz w:val="24"/>
          <w:szCs w:val="24"/>
        </w:rPr>
        <w:t>Standart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birim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</w:p>
    <w:p w14:paraId="00000092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• Sabit </w:t>
      </w:r>
      <w:proofErr w:type="spellStart"/>
      <w:r w:rsidRPr="00C12FA9">
        <w:rPr>
          <w:color w:val="000000" w:themeColor="text1"/>
          <w:sz w:val="24"/>
          <w:szCs w:val="24"/>
        </w:rPr>
        <w:t>oranlı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ödemeler</w:t>
      </w:r>
      <w:proofErr w:type="spellEnd"/>
    </w:p>
    <w:p w14:paraId="00000093" w14:textId="77777777" w:rsidR="007A7694" w:rsidRPr="00C12FA9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• Sabit </w:t>
      </w:r>
      <w:proofErr w:type="spellStart"/>
      <w:r w:rsidRPr="00C12FA9">
        <w:rPr>
          <w:color w:val="000000" w:themeColor="text1"/>
          <w:sz w:val="24"/>
          <w:szCs w:val="24"/>
        </w:rPr>
        <w:t>oranlı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</w:p>
    <w:p w14:paraId="00000094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Yararlanıcı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tarafından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standart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birim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sabit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oranlı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ödemeleri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sabit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oranlı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tanımlamak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kullanılan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yöntemler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sözleşmesinde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açıkça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tanımlan</w:t>
      </w:r>
      <w:r w:rsidRPr="00C12FA9">
        <w:rPr>
          <w:color w:val="000000" w:themeColor="text1"/>
        </w:rPr>
        <w:t>ır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gerekçelendiril</w:t>
      </w:r>
      <w:r w:rsidRPr="00C12FA9">
        <w:rPr>
          <w:color w:val="000000" w:themeColor="text1"/>
        </w:rPr>
        <w:t>ir</w:t>
      </w:r>
      <w:proofErr w:type="spellEnd"/>
      <w:r w:rsidRPr="00C12FA9">
        <w:rPr>
          <w:color w:val="000000" w:themeColor="text1"/>
        </w:rPr>
        <w:t>,</w:t>
      </w:r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ilkesine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uyumunu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çift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taraflı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yasağına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uyumunu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garanti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eder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</w:p>
    <w:p w14:paraId="00000095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96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Burada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temel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kullanılan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bilgiler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faydalanıcının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geçmiş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>/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muhasebe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verilerinden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varsa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uygunsa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bilgilerden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istatistiksel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verilerden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uzman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raporlarından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dahili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mevcut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uzman</w:t>
      </w:r>
      <w:proofErr w:type="spellEnd"/>
      <w:r w:rsidRPr="00C12FA9">
        <w:rPr>
          <w:color w:val="000000" w:themeColor="text1"/>
          <w:sz w:val="24"/>
          <w:szCs w:val="24"/>
        </w:rPr>
        <w:t xml:space="preserve">)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nesnel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bilgilerden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edilebilir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97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98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Mümkün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uygunsa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standart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birim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sabit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oranlı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ödemeler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sabit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oranlı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belirli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performansına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>/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sonuçlarına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ulaşıldığında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ödenebilecek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şekilde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tanımlanır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99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lastRenderedPageBreak/>
        <w:t xml:space="preserve">Bir </w:t>
      </w:r>
      <w:proofErr w:type="spellStart"/>
      <w:r w:rsidRPr="00C12FA9">
        <w:rPr>
          <w:color w:val="000000" w:themeColor="text1"/>
          <w:sz w:val="24"/>
          <w:szCs w:val="24"/>
        </w:rPr>
        <w:t>sonuç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birkaç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çalışma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performansı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kısmi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içeriyorsa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kısmi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satırlarına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bölünmelidir</w:t>
      </w:r>
      <w:proofErr w:type="spellEnd"/>
      <w:r w:rsidRPr="00C12FA9">
        <w:rPr>
          <w:color w:val="000000" w:themeColor="text1"/>
          <w:sz w:val="24"/>
          <w:szCs w:val="24"/>
        </w:rPr>
        <w:t xml:space="preserve">. Ve her </w:t>
      </w:r>
      <w:proofErr w:type="spellStart"/>
      <w:r w:rsidRPr="00C12FA9">
        <w:rPr>
          <w:color w:val="000000" w:themeColor="text1"/>
          <w:sz w:val="24"/>
          <w:szCs w:val="24"/>
        </w:rPr>
        <w:t>iş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performansı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kısmi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sonuç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sonuç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elde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edilmezse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kısmi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ödemelere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izin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vermek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sonuç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miktarın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kısmına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tahsis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edilmelidir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</w:p>
    <w:p w14:paraId="0000009A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9B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Basitleştirilmiş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seçenekleri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kapsamında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belirtilen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2.1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2.2’de </w:t>
      </w:r>
      <w:proofErr w:type="spellStart"/>
      <w:r w:rsidRPr="00C12FA9">
        <w:rPr>
          <w:color w:val="000000" w:themeColor="text1"/>
          <w:sz w:val="24"/>
          <w:szCs w:val="24"/>
        </w:rPr>
        <w:t>tanımlanan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kriterleri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karşılamalıdır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9C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9D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Bu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2.9'a </w:t>
      </w:r>
      <w:proofErr w:type="spellStart"/>
      <w:r w:rsidRPr="00C12FA9">
        <w:rPr>
          <w:color w:val="000000" w:themeColor="text1"/>
          <w:sz w:val="24"/>
          <w:szCs w:val="24"/>
        </w:rPr>
        <w:t>göre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olmayan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farklı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durumu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başlığı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altında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zaten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içermeyebilir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</w:p>
    <w:p w14:paraId="0000009E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9F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Hibe </w:t>
      </w:r>
      <w:proofErr w:type="spellStart"/>
      <w:r w:rsidRPr="00C12FA9">
        <w:rPr>
          <w:color w:val="000000" w:themeColor="text1"/>
          <w:sz w:val="24"/>
          <w:szCs w:val="24"/>
        </w:rPr>
        <w:t>sözleşmesinde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</w:rPr>
        <w:t>yer</w:t>
      </w:r>
      <w:proofErr w:type="spellEnd"/>
      <w:r w:rsidRPr="00C12FA9">
        <w:rPr>
          <w:color w:val="000000" w:themeColor="text1"/>
        </w:rPr>
        <w:t xml:space="preserve"> </w:t>
      </w:r>
      <w:proofErr w:type="spellStart"/>
      <w:r w:rsidRPr="00C12FA9">
        <w:rPr>
          <w:color w:val="000000" w:themeColor="text1"/>
        </w:rPr>
        <w:t>alan</w:t>
      </w:r>
      <w:proofErr w:type="spellEnd"/>
      <w:r w:rsidRPr="00C12FA9">
        <w:rPr>
          <w:color w:val="000000" w:themeColor="text1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standart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birim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sabit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oranlı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ödemeler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sabit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oranlı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maddelerinde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listelenen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tutarlar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taraflı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değiştirilemez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A0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00000A1" w14:textId="77777777" w:rsidR="007A7694" w:rsidRPr="00C12FA9" w:rsidRDefault="00A31760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000000" w:themeColor="text1"/>
          <w:sz w:val="26"/>
          <w:szCs w:val="26"/>
        </w:rPr>
      </w:pPr>
      <w:bookmarkStart w:id="4" w:name="_heading=h.2et92p0" w:colFirst="0" w:colLast="0"/>
      <w:bookmarkEnd w:id="4"/>
      <w:proofErr w:type="spellStart"/>
      <w:r w:rsidRPr="00C12FA9">
        <w:rPr>
          <w:b/>
          <w:color w:val="000000" w:themeColor="text1"/>
          <w:sz w:val="26"/>
          <w:szCs w:val="26"/>
        </w:rPr>
        <w:t>Koşullu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kaynak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düzenlemesi</w:t>
      </w:r>
      <w:proofErr w:type="spellEnd"/>
    </w:p>
    <w:p w14:paraId="000000A2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Yerel </w:t>
      </w:r>
      <w:proofErr w:type="spellStart"/>
      <w:r w:rsidRPr="00C12FA9">
        <w:rPr>
          <w:color w:val="000000" w:themeColor="text1"/>
          <w:sz w:val="24"/>
          <w:szCs w:val="24"/>
        </w:rPr>
        <w:t>koşullardaki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öngörülemeyen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değişiklikler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nedeniyle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ayarlamaları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kolaylaştırmak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planına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%5'ini </w:t>
      </w:r>
      <w:proofErr w:type="spellStart"/>
      <w:r w:rsidRPr="00C12FA9">
        <w:rPr>
          <w:color w:val="000000" w:themeColor="text1"/>
          <w:sz w:val="24"/>
          <w:szCs w:val="24"/>
        </w:rPr>
        <w:t>geçmeyen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olasılıklar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>/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döviz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kurundaki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dalgalanmalar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kaynak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dahil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kaynak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yalnızca</w:t>
      </w:r>
      <w:proofErr w:type="spellEnd"/>
      <w:r w:rsidRPr="00C12FA9">
        <w:rPr>
          <w:color w:val="000000" w:themeColor="text1"/>
          <w:sz w:val="24"/>
          <w:szCs w:val="24"/>
        </w:rPr>
        <w:t xml:space="preserve"> 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Istanbul’un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önceden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yazılı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izni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usulüne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gerekçelendirilmiş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talep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üzerine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kullanılabilir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A3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A4" w14:textId="77777777" w:rsidR="007A7694" w:rsidRPr="00C12FA9" w:rsidRDefault="00A3176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6"/>
          <w:szCs w:val="26"/>
        </w:rPr>
      </w:pPr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Dolaylı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maliyetler</w:t>
      </w:r>
      <w:proofErr w:type="spellEnd"/>
    </w:p>
    <w:p w14:paraId="000000A5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dolaylı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uygulanmasıyla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ilişkisi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kurulamayan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maliyetlerdir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tahsis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edilemez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Ancak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faydalanıcı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bunlar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maliyetleriyle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ilişkili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yapılır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Dolaylı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hâlihazırda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bütçe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planında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farklı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altında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içermeyebilir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A6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Dolaylı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karşılamak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toplam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tutarının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sabit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yüzdesi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talep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tutar</w:t>
      </w:r>
      <w:proofErr w:type="spellEnd"/>
      <w:r w:rsidRPr="00C12FA9">
        <w:rPr>
          <w:color w:val="000000" w:themeColor="text1"/>
          <w:sz w:val="24"/>
          <w:szCs w:val="24"/>
        </w:rPr>
        <w:t xml:space="preserve"> "</w:t>
      </w:r>
      <w:proofErr w:type="spellStart"/>
      <w:r w:rsidRPr="00C12FA9">
        <w:rPr>
          <w:color w:val="000000" w:themeColor="text1"/>
          <w:sz w:val="24"/>
          <w:szCs w:val="24"/>
        </w:rPr>
        <w:t>basit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usul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seçeneği</w:t>
      </w:r>
      <w:proofErr w:type="spellEnd"/>
      <w:r w:rsidRPr="00C12FA9">
        <w:rPr>
          <w:color w:val="000000" w:themeColor="text1"/>
          <w:sz w:val="24"/>
          <w:szCs w:val="24"/>
        </w:rPr>
        <w:t xml:space="preserve">"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sayılmaz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Hâlihazırda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Avrupa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Birliği’den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işletme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hibesi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almakta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yararlanıcıya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verilecek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hibede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dolaylı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dikkate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alınmaz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A7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A8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A9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AA" w14:textId="77777777" w:rsidR="007A7694" w:rsidRPr="00C12FA9" w:rsidRDefault="00A3176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 w:themeColor="text1"/>
          <w:sz w:val="26"/>
          <w:szCs w:val="26"/>
        </w:rPr>
      </w:pPr>
      <w:r w:rsidRPr="00C12FA9">
        <w:rPr>
          <w:b/>
          <w:color w:val="000000" w:themeColor="text1"/>
          <w:sz w:val="26"/>
          <w:szCs w:val="26"/>
        </w:rPr>
        <w:t xml:space="preserve">Ayni </w:t>
      </w:r>
      <w:proofErr w:type="spellStart"/>
      <w:r w:rsidRPr="00C12FA9">
        <w:rPr>
          <w:b/>
          <w:color w:val="000000" w:themeColor="text1"/>
          <w:sz w:val="26"/>
          <w:szCs w:val="26"/>
        </w:rPr>
        <w:t>yardımlar</w:t>
      </w:r>
      <w:proofErr w:type="spellEnd"/>
    </w:p>
    <w:p w14:paraId="000000AB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Hibe </w:t>
      </w:r>
      <w:proofErr w:type="spellStart"/>
      <w:r w:rsidRPr="00C12FA9">
        <w:rPr>
          <w:color w:val="000000" w:themeColor="text1"/>
          <w:sz w:val="24"/>
          <w:szCs w:val="24"/>
        </w:rPr>
        <w:t>sözleşmesinin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projeye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özel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ekinde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kalemlere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ayrılmış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durumlar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dikkate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alınan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yardımlar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gerçek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giderleri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temsil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etmez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değildir</w:t>
      </w:r>
      <w:proofErr w:type="spellEnd"/>
      <w:r w:rsidRPr="00C12FA9">
        <w:rPr>
          <w:color w:val="000000" w:themeColor="text1"/>
          <w:sz w:val="24"/>
          <w:szCs w:val="24"/>
        </w:rPr>
        <w:t xml:space="preserve">.  Aksi </w:t>
      </w:r>
      <w:proofErr w:type="spellStart"/>
      <w:r w:rsidRPr="00C12FA9">
        <w:rPr>
          <w:color w:val="000000" w:themeColor="text1"/>
          <w:sz w:val="24"/>
          <w:szCs w:val="24"/>
        </w:rPr>
        <w:t>düzenlenmedikçe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ayni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yardımlar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yararlanıcı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tarafından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değerlendirilemez</w:t>
      </w:r>
      <w:proofErr w:type="spellEnd"/>
      <w:r w:rsidRPr="00C12FA9">
        <w:rPr>
          <w:color w:val="000000" w:themeColor="text1"/>
          <w:sz w:val="24"/>
          <w:szCs w:val="24"/>
        </w:rPr>
        <w:t xml:space="preserve">. Ayni </w:t>
      </w:r>
      <w:proofErr w:type="spellStart"/>
      <w:r w:rsidRPr="00C12FA9">
        <w:rPr>
          <w:color w:val="000000" w:themeColor="text1"/>
          <w:sz w:val="24"/>
          <w:szCs w:val="24"/>
        </w:rPr>
        <w:t>yardımlar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kabul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edilirse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yararlanıcılar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bunların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ulusal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vergi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sosyal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güvenlik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düzenlemelerine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uymasını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sağlamalıdır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Bununla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birlikte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yukarıdakilere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bakılmaksızın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açıklamasında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öngörülüyorsa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ayni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yardımlar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sağlanacaktır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AC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AD" w14:textId="77777777" w:rsidR="007A7694" w:rsidRPr="00C12FA9" w:rsidRDefault="00A3176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C12FA9">
        <w:rPr>
          <w:b/>
          <w:color w:val="000000" w:themeColor="text1"/>
          <w:sz w:val="26"/>
          <w:szCs w:val="26"/>
        </w:rPr>
        <w:t>Gönüllü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çalışma</w:t>
      </w:r>
      <w:proofErr w:type="spellEnd"/>
    </w:p>
    <w:p w14:paraId="000000AE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Gönüllü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çalışmanın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değeri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durumu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kabul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yararlanıcı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tarafından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değerlendirilebilir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Hesaplanan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gönüllünün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yürüttüğü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işin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de </w:t>
      </w:r>
      <w:proofErr w:type="spellStart"/>
      <w:r w:rsidRPr="00C12FA9">
        <w:rPr>
          <w:color w:val="000000" w:themeColor="text1"/>
          <w:sz w:val="24"/>
          <w:szCs w:val="24"/>
        </w:rPr>
        <w:t>içeriyorsa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miktarı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gönüllünün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yürüttüğü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işin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hariç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olmak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üzere</w:t>
      </w:r>
      <w:proofErr w:type="spellEnd"/>
      <w:r w:rsidRPr="00C12FA9">
        <w:rPr>
          <w:color w:val="000000" w:themeColor="text1"/>
          <w:sz w:val="24"/>
          <w:szCs w:val="24"/>
        </w:rPr>
        <w:t xml:space="preserve">) </w:t>
      </w:r>
      <w:proofErr w:type="spellStart"/>
      <w:r w:rsidRPr="00C12FA9">
        <w:rPr>
          <w:color w:val="000000" w:themeColor="text1"/>
          <w:sz w:val="24"/>
          <w:szCs w:val="24"/>
        </w:rPr>
        <w:t>aşamaz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AF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Faydalanıcı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gönüllünün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yürüttüğü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işler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personel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giderlerini</w:t>
      </w:r>
      <w:proofErr w:type="spellEnd"/>
      <w:r w:rsidRPr="00C12FA9">
        <w:rPr>
          <w:color w:val="000000" w:themeColor="text1"/>
          <w:sz w:val="24"/>
          <w:szCs w:val="24"/>
        </w:rPr>
        <w:t xml:space="preserve"> 2.4'teki </w:t>
      </w:r>
      <w:proofErr w:type="spellStart"/>
      <w:r w:rsidRPr="00C12FA9">
        <w:rPr>
          <w:color w:val="000000" w:themeColor="text1"/>
          <w:sz w:val="24"/>
          <w:szCs w:val="24"/>
        </w:rPr>
        <w:t>onaylı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standart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birim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göre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beyan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eder</w:t>
      </w:r>
      <w:proofErr w:type="spellEnd"/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standart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birim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değeri</w:t>
      </w:r>
      <w:proofErr w:type="spellEnd"/>
      <w:r w:rsidRPr="00C12FA9">
        <w:rPr>
          <w:color w:val="000000" w:themeColor="text1"/>
          <w:sz w:val="24"/>
          <w:szCs w:val="24"/>
        </w:rPr>
        <w:t xml:space="preserve"> 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Istanbul </w:t>
      </w:r>
      <w:proofErr w:type="spellStart"/>
      <w:r w:rsidRPr="00C12FA9">
        <w:rPr>
          <w:color w:val="000000" w:themeColor="text1"/>
          <w:sz w:val="24"/>
          <w:szCs w:val="24"/>
        </w:rPr>
        <w:t>tarafından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belirlenir</w:t>
      </w:r>
      <w:proofErr w:type="spellEnd"/>
      <w:r w:rsidRPr="00C12FA9">
        <w:rPr>
          <w:color w:val="000000" w:themeColor="text1"/>
          <w:sz w:val="24"/>
          <w:szCs w:val="24"/>
        </w:rPr>
        <w:t xml:space="preserve">. Bu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hesaplanan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bütçede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diğer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ayrı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olarak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gösterilmelidir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Dolaylı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hesaplanırken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gönüllü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çalışmanın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değeri</w:t>
      </w:r>
      <w:proofErr w:type="spellEnd"/>
      <w:r w:rsidRPr="00C12FA9">
        <w:rPr>
          <w:color w:val="000000" w:themeColor="text1"/>
          <w:sz w:val="24"/>
          <w:szCs w:val="24"/>
        </w:rPr>
        <w:t xml:space="preserve"> her zaman </w:t>
      </w:r>
      <w:proofErr w:type="spellStart"/>
      <w:r w:rsidRPr="00C12FA9">
        <w:rPr>
          <w:color w:val="000000" w:themeColor="text1"/>
          <w:sz w:val="24"/>
          <w:szCs w:val="24"/>
        </w:rPr>
        <w:t>hariç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tutulmalıdır</w:t>
      </w:r>
      <w:proofErr w:type="spellEnd"/>
      <w:r w:rsidRPr="00C12FA9">
        <w:rPr>
          <w:color w:val="000000" w:themeColor="text1"/>
          <w:sz w:val="24"/>
          <w:szCs w:val="24"/>
        </w:rPr>
        <w:t xml:space="preserve">. </w:t>
      </w:r>
      <w:proofErr w:type="spellStart"/>
      <w:r w:rsidRPr="00C12FA9">
        <w:rPr>
          <w:color w:val="000000" w:themeColor="text1"/>
          <w:sz w:val="24"/>
          <w:szCs w:val="24"/>
        </w:rPr>
        <w:t>Gönüllünün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yürüttüğü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iş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eş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finansmanın</w:t>
      </w:r>
      <w:proofErr w:type="spellEnd"/>
      <w:r w:rsidRPr="00C12FA9">
        <w:rPr>
          <w:color w:val="000000" w:themeColor="text1"/>
          <w:sz w:val="24"/>
          <w:szCs w:val="24"/>
        </w:rPr>
        <w:t xml:space="preserve"> %50'sine </w:t>
      </w:r>
      <w:proofErr w:type="spellStart"/>
      <w:r w:rsidRPr="00C12FA9">
        <w:rPr>
          <w:color w:val="000000" w:themeColor="text1"/>
          <w:sz w:val="24"/>
          <w:szCs w:val="24"/>
        </w:rPr>
        <w:t>kadar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kısmını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oluşturabilir</w:t>
      </w:r>
      <w:proofErr w:type="spellEnd"/>
      <w:r w:rsidRPr="00C12FA9">
        <w:rPr>
          <w:color w:val="000000" w:themeColor="text1"/>
          <w:sz w:val="24"/>
          <w:szCs w:val="24"/>
        </w:rPr>
        <w:t xml:space="preserve">; </w:t>
      </w:r>
      <w:proofErr w:type="spellStart"/>
      <w:r w:rsidRPr="00C12FA9">
        <w:rPr>
          <w:color w:val="000000" w:themeColor="text1"/>
          <w:sz w:val="24"/>
          <w:szCs w:val="24"/>
        </w:rPr>
        <w:t>geri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kalanı</w:t>
      </w:r>
      <w:proofErr w:type="spellEnd"/>
      <w:r w:rsidRPr="00C12FA9">
        <w:rPr>
          <w:color w:val="000000" w:themeColor="text1"/>
          <w:sz w:val="24"/>
          <w:szCs w:val="24"/>
        </w:rPr>
        <w:t xml:space="preserve"> 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Istanbul </w:t>
      </w:r>
      <w:proofErr w:type="spellStart"/>
      <w:r w:rsidRPr="00C12FA9">
        <w:rPr>
          <w:color w:val="000000" w:themeColor="text1"/>
          <w:sz w:val="24"/>
          <w:szCs w:val="24"/>
        </w:rPr>
        <w:t>tarafından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kısma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eşdeğerdir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sözleşmesine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dahil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değildir</w:t>
      </w:r>
      <w:proofErr w:type="spellEnd"/>
      <w:r w:rsidRPr="00C12FA9">
        <w:rPr>
          <w:color w:val="000000" w:themeColor="text1"/>
          <w:sz w:val="24"/>
          <w:szCs w:val="24"/>
        </w:rPr>
        <w:t>.</w:t>
      </w:r>
    </w:p>
    <w:p w14:paraId="000000B0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000000B1" w14:textId="77777777" w:rsidR="007A7694" w:rsidRPr="00C12FA9" w:rsidRDefault="00A3176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6"/>
          <w:szCs w:val="26"/>
        </w:rPr>
      </w:pPr>
      <w:r w:rsidRPr="00C12FA9">
        <w:rPr>
          <w:b/>
          <w:color w:val="000000" w:themeColor="text1"/>
          <w:sz w:val="26"/>
          <w:szCs w:val="26"/>
        </w:rPr>
        <w:t xml:space="preserve">Uygun </w:t>
      </w:r>
      <w:proofErr w:type="spellStart"/>
      <w:r w:rsidRPr="00C12FA9">
        <w:rPr>
          <w:b/>
          <w:color w:val="000000" w:themeColor="text1"/>
          <w:sz w:val="26"/>
          <w:szCs w:val="26"/>
        </w:rPr>
        <w:t>olmayan</w:t>
      </w:r>
      <w:proofErr w:type="spellEnd"/>
      <w:r w:rsidRPr="00C12FA9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12FA9">
        <w:rPr>
          <w:b/>
          <w:color w:val="000000" w:themeColor="text1"/>
          <w:sz w:val="26"/>
          <w:szCs w:val="26"/>
        </w:rPr>
        <w:t>maliyetler</w:t>
      </w:r>
      <w:proofErr w:type="spellEnd"/>
    </w:p>
    <w:p w14:paraId="000000B2" w14:textId="77777777" w:rsidR="007A7694" w:rsidRPr="00C12FA9" w:rsidRDefault="00A3176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Aşağıdaki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değildir</w:t>
      </w:r>
      <w:proofErr w:type="spellEnd"/>
      <w:r w:rsidRPr="00C12FA9">
        <w:rPr>
          <w:color w:val="000000" w:themeColor="text1"/>
          <w:sz w:val="24"/>
          <w:szCs w:val="24"/>
        </w:rPr>
        <w:t>:</w:t>
      </w:r>
    </w:p>
    <w:p w14:paraId="000000B3" w14:textId="77777777" w:rsidR="007A7694" w:rsidRPr="00C12FA9" w:rsidRDefault="00A317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Borçlar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borç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kaynaklı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masraflar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faiz</w:t>
      </w:r>
      <w:proofErr w:type="spellEnd"/>
      <w:r w:rsidRPr="00C12FA9">
        <w:rPr>
          <w:color w:val="000000" w:themeColor="text1"/>
          <w:sz w:val="24"/>
          <w:szCs w:val="24"/>
        </w:rPr>
        <w:t>)</w:t>
      </w:r>
    </w:p>
    <w:p w14:paraId="000000B4" w14:textId="77777777" w:rsidR="007A7694" w:rsidRPr="00C12FA9" w:rsidRDefault="00A317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Kayıplar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borçlar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gelecekteki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olası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yükümlülükler</w:t>
      </w:r>
      <w:proofErr w:type="spellEnd"/>
    </w:p>
    <w:p w14:paraId="000000B5" w14:textId="77777777" w:rsidR="007A7694" w:rsidRPr="00C12FA9" w:rsidRDefault="00A317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Yararlanıcı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tarafından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belirlenen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hâlihazırda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Avrupa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Birliği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hibesi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içeren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başka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bir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proje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fon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aracılığıyla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finanse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maliyetler</w:t>
      </w:r>
      <w:proofErr w:type="spellEnd"/>
    </w:p>
    <w:p w14:paraId="000000B6" w14:textId="77777777" w:rsidR="007A7694" w:rsidRPr="00C12FA9" w:rsidRDefault="00A317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lastRenderedPageBreak/>
        <w:t>Projenin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doğrudan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uygulanması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gerekli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olmadığı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bu</w:t>
      </w:r>
      <w:proofErr w:type="spellEnd"/>
      <w:r w:rsidRPr="00C12FA9">
        <w:rPr>
          <w:color w:val="000000" w:themeColor="text1"/>
          <w:sz w:val="24"/>
          <w:szCs w:val="24"/>
        </w:rPr>
        <w:t xml:space="preserve"> durum </w:t>
      </w:r>
      <w:proofErr w:type="spellStart"/>
      <w:r w:rsidRPr="00C12FA9">
        <w:rPr>
          <w:color w:val="000000" w:themeColor="text1"/>
          <w:sz w:val="24"/>
          <w:szCs w:val="24"/>
        </w:rPr>
        <w:t>için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sözleşmesinde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tanımlanan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koşullara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uyulmadığı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sürece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Örneğin</w:t>
      </w:r>
      <w:proofErr w:type="spellEnd"/>
      <w:r w:rsidRPr="00C12FA9">
        <w:rPr>
          <w:color w:val="000000" w:themeColor="text1"/>
          <w:sz w:val="24"/>
          <w:szCs w:val="24"/>
        </w:rPr>
        <w:t>, Goethe-</w:t>
      </w:r>
      <w:proofErr w:type="spellStart"/>
      <w:r w:rsidRPr="00C12FA9">
        <w:rPr>
          <w:color w:val="000000" w:themeColor="text1"/>
          <w:sz w:val="24"/>
          <w:szCs w:val="24"/>
        </w:rPr>
        <w:t>Institut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Istanbul’a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iade</w:t>
      </w:r>
      <w:proofErr w:type="spellEnd"/>
      <w:r w:rsidRPr="00C12FA9">
        <w:rPr>
          <w:color w:val="000000" w:themeColor="text1"/>
          <w:sz w:val="24"/>
          <w:szCs w:val="24"/>
        </w:rPr>
        <w:t xml:space="preserve">) </w:t>
      </w:r>
      <w:proofErr w:type="spellStart"/>
      <w:r w:rsidRPr="00C12FA9">
        <w:rPr>
          <w:color w:val="000000" w:themeColor="text1"/>
          <w:sz w:val="24"/>
          <w:szCs w:val="24"/>
        </w:rPr>
        <w:t>arazi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veya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mülk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satın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alınması</w:t>
      </w:r>
      <w:proofErr w:type="spellEnd"/>
    </w:p>
    <w:p w14:paraId="000000B7" w14:textId="77777777" w:rsidR="007A7694" w:rsidRPr="00C12FA9" w:rsidRDefault="00A317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Döviz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işlemlerinden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kaynaklı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kayıplar</w:t>
      </w:r>
      <w:proofErr w:type="spellEnd"/>
    </w:p>
    <w:p w14:paraId="000000B8" w14:textId="77777777" w:rsidR="007A7694" w:rsidRPr="00C12FA9" w:rsidRDefault="00A317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Aksi </w:t>
      </w:r>
      <w:proofErr w:type="spellStart"/>
      <w:r w:rsidRPr="00C12FA9">
        <w:rPr>
          <w:color w:val="000000" w:themeColor="text1"/>
          <w:sz w:val="24"/>
          <w:szCs w:val="24"/>
        </w:rPr>
        <w:t>belirtilmedikçe</w:t>
      </w:r>
      <w:proofErr w:type="spellEnd"/>
      <w:r w:rsidRPr="00C12FA9">
        <w:rPr>
          <w:color w:val="000000" w:themeColor="text1"/>
          <w:sz w:val="24"/>
          <w:szCs w:val="24"/>
        </w:rPr>
        <w:t xml:space="preserve">, </w:t>
      </w:r>
      <w:proofErr w:type="spellStart"/>
      <w:r w:rsidRPr="00C12FA9">
        <w:rPr>
          <w:color w:val="000000" w:themeColor="text1"/>
          <w:sz w:val="24"/>
          <w:szCs w:val="24"/>
        </w:rPr>
        <w:t>örneğin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hibe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sözleşmesinde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üçüncü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şahıslara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kredi</w:t>
      </w:r>
      <w:proofErr w:type="spellEnd"/>
    </w:p>
    <w:p w14:paraId="000000B9" w14:textId="77777777" w:rsidR="007A7694" w:rsidRPr="00C12FA9" w:rsidRDefault="00A317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12FA9">
        <w:rPr>
          <w:color w:val="000000" w:themeColor="text1"/>
          <w:sz w:val="24"/>
          <w:szCs w:val="24"/>
        </w:rPr>
        <w:t xml:space="preserve">Ayni </w:t>
      </w:r>
      <w:proofErr w:type="spellStart"/>
      <w:r w:rsidRPr="00C12FA9">
        <w:rPr>
          <w:color w:val="000000" w:themeColor="text1"/>
          <w:sz w:val="24"/>
          <w:szCs w:val="24"/>
        </w:rPr>
        <w:t>yardımlar</w:t>
      </w:r>
      <w:proofErr w:type="spellEnd"/>
      <w:r w:rsidRPr="00C12FA9">
        <w:rPr>
          <w:color w:val="000000" w:themeColor="text1"/>
          <w:sz w:val="24"/>
          <w:szCs w:val="24"/>
        </w:rPr>
        <w:t xml:space="preserve"> (</w:t>
      </w:r>
      <w:proofErr w:type="spellStart"/>
      <w:r w:rsidRPr="00C12FA9">
        <w:rPr>
          <w:color w:val="000000" w:themeColor="text1"/>
          <w:sz w:val="24"/>
          <w:szCs w:val="24"/>
        </w:rPr>
        <w:t>gönüllü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çalışma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haricinde</w:t>
      </w:r>
      <w:proofErr w:type="spellEnd"/>
      <w:r w:rsidRPr="00C12FA9">
        <w:rPr>
          <w:color w:val="000000" w:themeColor="text1"/>
          <w:sz w:val="24"/>
          <w:szCs w:val="24"/>
        </w:rPr>
        <w:t>)</w:t>
      </w:r>
    </w:p>
    <w:p w14:paraId="000000BA" w14:textId="77777777" w:rsidR="007A7694" w:rsidRPr="00C12FA9" w:rsidRDefault="00A317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C12FA9">
        <w:rPr>
          <w:color w:val="000000" w:themeColor="text1"/>
          <w:sz w:val="24"/>
          <w:szCs w:val="24"/>
        </w:rPr>
        <w:t>Personel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giderlerine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dahil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edilen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performansla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ilgili</w:t>
      </w:r>
      <w:proofErr w:type="spellEnd"/>
      <w:r w:rsidRPr="00C12FA9">
        <w:rPr>
          <w:color w:val="000000" w:themeColor="text1"/>
          <w:sz w:val="24"/>
          <w:szCs w:val="24"/>
        </w:rPr>
        <w:t xml:space="preserve"> </w:t>
      </w:r>
      <w:proofErr w:type="spellStart"/>
      <w:r w:rsidRPr="00C12FA9">
        <w:rPr>
          <w:color w:val="000000" w:themeColor="text1"/>
          <w:sz w:val="24"/>
          <w:szCs w:val="24"/>
        </w:rPr>
        <w:t>primler</w:t>
      </w:r>
      <w:proofErr w:type="spellEnd"/>
    </w:p>
    <w:p w14:paraId="000000BB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360" w:lineRule="auto"/>
        <w:ind w:left="720"/>
        <w:jc w:val="both"/>
        <w:rPr>
          <w:color w:val="000000" w:themeColor="text1"/>
          <w:sz w:val="24"/>
          <w:szCs w:val="24"/>
        </w:rPr>
      </w:pPr>
    </w:p>
    <w:p w14:paraId="000000BC" w14:textId="77777777" w:rsidR="007A7694" w:rsidRPr="00C12FA9" w:rsidRDefault="007A76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</w:rPr>
      </w:pPr>
    </w:p>
    <w:sectPr w:rsidR="007A7694" w:rsidRPr="00C12F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455" w14:textId="77777777" w:rsidR="006D4D2D" w:rsidRDefault="006D4D2D">
      <w:pPr>
        <w:spacing w:after="0" w:line="240" w:lineRule="auto"/>
      </w:pPr>
      <w:r>
        <w:separator/>
      </w:r>
    </w:p>
  </w:endnote>
  <w:endnote w:type="continuationSeparator" w:id="0">
    <w:p w14:paraId="3DDFE6B0" w14:textId="77777777" w:rsidR="006D4D2D" w:rsidRDefault="006D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1" w14:textId="30C28EB8" w:rsidR="007A7694" w:rsidRDefault="00A3176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C12FA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0" w14:textId="77777777" w:rsidR="007A7694" w:rsidRDefault="007A769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902E" w14:textId="77777777" w:rsidR="006D4D2D" w:rsidRDefault="006D4D2D">
      <w:pPr>
        <w:spacing w:after="0" w:line="240" w:lineRule="auto"/>
      </w:pPr>
      <w:r>
        <w:separator/>
      </w:r>
    </w:p>
  </w:footnote>
  <w:footnote w:type="continuationSeparator" w:id="0">
    <w:p w14:paraId="17C56B3E" w14:textId="77777777" w:rsidR="006D4D2D" w:rsidRDefault="006D4D2D">
      <w:pPr>
        <w:spacing w:after="0" w:line="240" w:lineRule="auto"/>
      </w:pPr>
      <w:r>
        <w:continuationSeparator/>
      </w:r>
    </w:p>
  </w:footnote>
  <w:footnote w:id="1">
    <w:p w14:paraId="000000BD" w14:textId="77777777" w:rsidR="007A7694" w:rsidRDefault="00A31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Regulation (EU, Euratom) 2018/1046 of the European Parliament and of the Council of 18 July 2018 on the financial rules applicable to the general budget of the Union, amending Regulations (EU) No 1296/2013, (EU) No 1301/2013, (EU) No 1303/2013, (EU) No 1304/2013, (EU) No 1309/2013, (EU) No 1316/2013, (EU) No 223/2014, (EU) No 283/2014, and Decision No 541/2014/EU and repealing Regulation (EU, Euratom) No 966/2012.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6A31" w14:textId="77777777" w:rsidR="00C12FA9" w:rsidRDefault="00C12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F" w14:textId="77777777" w:rsidR="007A7694" w:rsidRDefault="007A769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E" w14:textId="5F1D0C44" w:rsidR="007A7694" w:rsidRDefault="00C12FA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  <w:r>
      <w:rPr>
        <w:rFonts w:ascii="Helvetica Neue" w:eastAsia="Helvetica Neue" w:hAnsi="Helvetica Neue" w:cs="Helvetica Neue"/>
        <w:noProof/>
        <w:sz w:val="24"/>
        <w:szCs w:val="24"/>
      </w:rPr>
      <w:drawing>
        <wp:inline distT="0" distB="0" distL="0" distR="0" wp14:anchorId="786C7C91" wp14:editId="49B02989">
          <wp:extent cx="5727700" cy="14547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5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48F"/>
    <w:multiLevelType w:val="multilevel"/>
    <w:tmpl w:val="DEAAD5C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5C56199"/>
    <w:multiLevelType w:val="multilevel"/>
    <w:tmpl w:val="CB565A98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</w:abstractNum>
  <w:abstractNum w:abstractNumId="2" w15:restartNumberingAfterBreak="0">
    <w:nsid w:val="1F3B641A"/>
    <w:multiLevelType w:val="multilevel"/>
    <w:tmpl w:val="18C8127C"/>
    <w:lvl w:ilvl="0">
      <w:start w:val="1"/>
      <w:numFmt w:val="decimal"/>
      <w:lvlText w:val="%1."/>
      <w:lvlJc w:val="left"/>
      <w:pPr>
        <w:ind w:left="425" w:hanging="425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916" w:hanging="916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3B809ED"/>
    <w:multiLevelType w:val="multilevel"/>
    <w:tmpl w:val="EF6A5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9BB25D8"/>
    <w:multiLevelType w:val="multilevel"/>
    <w:tmpl w:val="0A78D8EA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A1241DF"/>
    <w:multiLevelType w:val="multilevel"/>
    <w:tmpl w:val="B9D6DC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C004001"/>
    <w:multiLevelType w:val="multilevel"/>
    <w:tmpl w:val="4D926442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</w:abstractNum>
  <w:abstractNum w:abstractNumId="7" w15:restartNumberingAfterBreak="0">
    <w:nsid w:val="328F5A81"/>
    <w:multiLevelType w:val="multilevel"/>
    <w:tmpl w:val="7F6E1A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38E15E36"/>
    <w:multiLevelType w:val="multilevel"/>
    <w:tmpl w:val="07627E1C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D436669"/>
    <w:multiLevelType w:val="multilevel"/>
    <w:tmpl w:val="29F2776A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49EA4E9B"/>
    <w:multiLevelType w:val="multilevel"/>
    <w:tmpl w:val="9F3C6E08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50D95C61"/>
    <w:multiLevelType w:val="multilevel"/>
    <w:tmpl w:val="64D82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B432B5"/>
    <w:multiLevelType w:val="multilevel"/>
    <w:tmpl w:val="EC865936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8144BC0"/>
    <w:multiLevelType w:val="multilevel"/>
    <w:tmpl w:val="70BAFB42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5CB31272"/>
    <w:multiLevelType w:val="multilevel"/>
    <w:tmpl w:val="965A8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5D11321D"/>
    <w:multiLevelType w:val="multilevel"/>
    <w:tmpl w:val="6CAC8FC0"/>
    <w:lvl w:ilvl="0">
      <w:start w:val="1"/>
      <w:numFmt w:val="decimal"/>
      <w:lvlText w:val="%1."/>
      <w:lvlJc w:val="left"/>
      <w:pPr>
        <w:ind w:left="425" w:hanging="425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611A6AB0"/>
    <w:multiLevelType w:val="multilevel"/>
    <w:tmpl w:val="724C62F0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</w:abstractNum>
  <w:abstractNum w:abstractNumId="17" w15:restartNumberingAfterBreak="0">
    <w:nsid w:val="66EC29F5"/>
    <w:multiLevelType w:val="multilevel"/>
    <w:tmpl w:val="A056B5B4"/>
    <w:lvl w:ilvl="0">
      <w:start w:val="2"/>
      <w:numFmt w:val="decimal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rebuchet MS" w:eastAsia="Trebuchet MS" w:hAnsi="Trebuchet MS" w:cs="Trebuchet MS"/>
        <w:b/>
        <w:i w:val="0"/>
        <w:smallCaps w:val="0"/>
        <w:strike w:val="0"/>
        <w:color w:val="A0C814"/>
        <w:shd w:val="clear" w:color="auto" w:fill="auto"/>
        <w:vertAlign w:val="baseline"/>
      </w:rPr>
    </w:lvl>
  </w:abstractNum>
  <w:abstractNum w:abstractNumId="18" w15:restartNumberingAfterBreak="0">
    <w:nsid w:val="715D579A"/>
    <w:multiLevelType w:val="multilevel"/>
    <w:tmpl w:val="F93AF0DC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48" w:hanging="22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12" w:hanging="2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7F0124DC"/>
    <w:multiLevelType w:val="multilevel"/>
    <w:tmpl w:val="81422622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664865369">
    <w:abstractNumId w:val="19"/>
  </w:num>
  <w:num w:numId="2" w16cid:durableId="335619896">
    <w:abstractNumId w:val="4"/>
  </w:num>
  <w:num w:numId="3" w16cid:durableId="513614864">
    <w:abstractNumId w:val="1"/>
  </w:num>
  <w:num w:numId="4" w16cid:durableId="1011952938">
    <w:abstractNumId w:val="18"/>
  </w:num>
  <w:num w:numId="5" w16cid:durableId="792670030">
    <w:abstractNumId w:val="13"/>
  </w:num>
  <w:num w:numId="6" w16cid:durableId="2075854139">
    <w:abstractNumId w:val="15"/>
  </w:num>
  <w:num w:numId="7" w16cid:durableId="1044989564">
    <w:abstractNumId w:val="6"/>
  </w:num>
  <w:num w:numId="8" w16cid:durableId="791436388">
    <w:abstractNumId w:val="17"/>
  </w:num>
  <w:num w:numId="9" w16cid:durableId="1109667784">
    <w:abstractNumId w:val="2"/>
  </w:num>
  <w:num w:numId="10" w16cid:durableId="161240169">
    <w:abstractNumId w:val="9"/>
  </w:num>
  <w:num w:numId="11" w16cid:durableId="112603535">
    <w:abstractNumId w:val="12"/>
  </w:num>
  <w:num w:numId="12" w16cid:durableId="1334576334">
    <w:abstractNumId w:val="16"/>
  </w:num>
  <w:num w:numId="13" w16cid:durableId="2109960898">
    <w:abstractNumId w:val="0"/>
  </w:num>
  <w:num w:numId="14" w16cid:durableId="1625502397">
    <w:abstractNumId w:val="8"/>
  </w:num>
  <w:num w:numId="15" w16cid:durableId="749539783">
    <w:abstractNumId w:val="10"/>
  </w:num>
  <w:num w:numId="16" w16cid:durableId="1805998909">
    <w:abstractNumId w:val="11"/>
  </w:num>
  <w:num w:numId="17" w16cid:durableId="1951624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2252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841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4949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1431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6551728">
    <w:abstractNumId w:val="7"/>
  </w:num>
  <w:num w:numId="23" w16cid:durableId="2120442221">
    <w:abstractNumId w:val="14"/>
  </w:num>
  <w:num w:numId="24" w16cid:durableId="966084401">
    <w:abstractNumId w:val="3"/>
  </w:num>
  <w:num w:numId="25" w16cid:durableId="1796093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4"/>
    <w:rsid w:val="00655E45"/>
    <w:rsid w:val="006D4D2D"/>
    <w:rsid w:val="007A7694"/>
    <w:rsid w:val="00A31760"/>
    <w:rsid w:val="00C12FA9"/>
    <w:rsid w:val="00E1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745A9"/>
  <w15:docId w15:val="{A7EB0379-6376-C046-A124-BC5CEAC8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numbering" w:customStyle="1" w:styleId="ImportedStyle4">
    <w:name w:val="Imported Style 4"/>
  </w:style>
  <w:style w:type="numbering" w:customStyle="1" w:styleId="ImportedStyle5">
    <w:name w:val="Imported Style 5"/>
  </w:style>
  <w:style w:type="numbering" w:customStyle="1" w:styleId="ImportedStyle6">
    <w:name w:val="Imported Style 6"/>
  </w:style>
  <w:style w:type="numbering" w:customStyle="1" w:styleId="ImportedStyle7">
    <w:name w:val="Imported Style 7"/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8">
    <w:name w:val="Imported Style 8"/>
  </w:style>
  <w:style w:type="numbering" w:customStyle="1" w:styleId="ImportedStyle9">
    <w:name w:val="Imported Style 9"/>
  </w:style>
  <w:style w:type="numbering" w:customStyle="1" w:styleId="ImportedStyle10">
    <w:name w:val="Imported Style 10"/>
  </w:style>
  <w:style w:type="numbering" w:customStyle="1" w:styleId="ImportedStyle11">
    <w:name w:val="Imported Style 11"/>
  </w:style>
  <w:style w:type="numbering" w:customStyle="1" w:styleId="ImportedStyle12">
    <w:name w:val="Imported Style 1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F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1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F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E1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2yNG5Lny4IeUNyun0q7S07OLSg==">AMUW2mWUDOaBmg3VfVR2oVGVTSEKT7WgzJfdP9LlgrB6yL9ngU+IcNIfc3ucSqOXmOiyLACe6nCtko1dl8sqhW9VLmd0ArxlIHMIc8/SHDfOQnHZGlmg5UY/zcNp2e+vAxt61tAlSWglETh1mZ0KbgQoZz91m0jbOAlKviOQbNXPtgsE9gKsk9Ul0xjvCm8MYCmOpgZuAluk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2664</Words>
  <Characters>15187</Characters>
  <Application>Microsoft Office Word</Application>
  <DocSecurity>0</DocSecurity>
  <Lines>126</Lines>
  <Paragraphs>35</Paragraphs>
  <ScaleCrop>false</ScaleCrop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CultureCivic</dc:creator>
  <cp:lastModifiedBy>Goethe Extern</cp:lastModifiedBy>
  <cp:revision>2</cp:revision>
  <dcterms:created xsi:type="dcterms:W3CDTF">2023-08-01T11:08:00Z</dcterms:created>
  <dcterms:modified xsi:type="dcterms:W3CDTF">2023-08-01T11:08:00Z</dcterms:modified>
</cp:coreProperties>
</file>